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7528E7" w:rsidP="00FA21FF">
      <w:pPr>
        <w:spacing w:line="400" w:lineRule="exact"/>
        <w:jc w:val="right"/>
        <w:rPr>
          <w:rFonts w:cs="Arial"/>
          <w:bCs/>
          <w:sz w:val="18"/>
          <w:szCs w:val="18"/>
        </w:rPr>
      </w:pPr>
      <w:r>
        <w:rPr>
          <w:rFonts w:cs="Arial"/>
          <w:bCs/>
          <w:sz w:val="18"/>
          <w:szCs w:val="18"/>
        </w:rPr>
        <w:t>02</w:t>
      </w:r>
      <w:r w:rsidR="002C1203">
        <w:rPr>
          <w:rFonts w:cs="Arial"/>
          <w:bCs/>
          <w:sz w:val="18"/>
          <w:szCs w:val="18"/>
        </w:rPr>
        <w:t>/2</w:t>
      </w:r>
      <w:r w:rsidR="00C17147">
        <w:rPr>
          <w:rFonts w:cs="Arial"/>
          <w:bCs/>
          <w:sz w:val="18"/>
          <w:szCs w:val="18"/>
        </w:rPr>
        <w:t>2</w:t>
      </w:r>
      <w:r w:rsidR="002C1203">
        <w:rPr>
          <w:rFonts w:cs="Arial"/>
          <w:bCs/>
          <w:sz w:val="18"/>
          <w:szCs w:val="18"/>
        </w:rPr>
        <w:t>-</w:t>
      </w:r>
      <w:r>
        <w:rPr>
          <w:rFonts w:cs="Arial"/>
          <w:bCs/>
          <w:sz w:val="18"/>
          <w:szCs w:val="18"/>
        </w:rPr>
        <w:t>11</w:t>
      </w:r>
    </w:p>
    <w:p w:rsidR="00E75D63" w:rsidRDefault="00B10E10" w:rsidP="00E75D63">
      <w:pPr>
        <w:spacing w:line="400" w:lineRule="exact"/>
        <w:rPr>
          <w:rFonts w:cs="Arial"/>
          <w:bCs/>
          <w:sz w:val="24"/>
          <w:szCs w:val="24"/>
          <w:u w:val="single"/>
        </w:rPr>
      </w:pPr>
      <w:r>
        <w:rPr>
          <w:rFonts w:cs="Arial"/>
          <w:bCs/>
          <w:sz w:val="24"/>
          <w:szCs w:val="24"/>
          <w:u w:val="single"/>
        </w:rPr>
        <w:t>Sto stellt d</w:t>
      </w:r>
      <w:r w:rsidR="007528E7">
        <w:rPr>
          <w:rFonts w:cs="Arial"/>
          <w:bCs/>
          <w:sz w:val="24"/>
          <w:szCs w:val="24"/>
          <w:u w:val="single"/>
        </w:rPr>
        <w:t>igitale</w:t>
      </w:r>
      <w:r>
        <w:rPr>
          <w:rFonts w:cs="Arial"/>
          <w:bCs/>
          <w:sz w:val="24"/>
          <w:szCs w:val="24"/>
          <w:u w:val="single"/>
        </w:rPr>
        <w:t>n</w:t>
      </w:r>
      <w:r w:rsidR="007528E7">
        <w:rPr>
          <w:rFonts w:cs="Arial"/>
          <w:bCs/>
          <w:sz w:val="24"/>
          <w:szCs w:val="24"/>
          <w:u w:val="single"/>
        </w:rPr>
        <w:t xml:space="preserve"> </w:t>
      </w:r>
      <w:r>
        <w:rPr>
          <w:rFonts w:cs="Arial"/>
          <w:bCs/>
          <w:sz w:val="24"/>
          <w:szCs w:val="24"/>
          <w:u w:val="single"/>
        </w:rPr>
        <w:t>„</w:t>
      </w:r>
      <w:r w:rsidR="007528E7">
        <w:rPr>
          <w:rFonts w:cs="Arial"/>
          <w:bCs/>
          <w:sz w:val="24"/>
          <w:szCs w:val="24"/>
          <w:u w:val="single"/>
        </w:rPr>
        <w:t>Wandaufbau-Konfigurator</w:t>
      </w:r>
      <w:r>
        <w:rPr>
          <w:rFonts w:cs="Arial"/>
          <w:bCs/>
          <w:sz w:val="24"/>
          <w:szCs w:val="24"/>
          <w:u w:val="single"/>
        </w:rPr>
        <w:t>.de“ vor</w:t>
      </w:r>
    </w:p>
    <w:p w:rsidR="00824B40" w:rsidRPr="00E75D63" w:rsidRDefault="00824B40" w:rsidP="00E75D63">
      <w:pPr>
        <w:spacing w:line="400" w:lineRule="exact"/>
        <w:rPr>
          <w:rFonts w:cs="Arial"/>
          <w:bCs/>
          <w:sz w:val="28"/>
          <w:szCs w:val="24"/>
          <w:u w:val="single"/>
        </w:rPr>
      </w:pPr>
    </w:p>
    <w:p w:rsidR="00B10E10" w:rsidRDefault="007528E7" w:rsidP="00B10E10">
      <w:pPr>
        <w:autoSpaceDE w:val="0"/>
        <w:autoSpaceDN w:val="0"/>
        <w:adjustRightInd w:val="0"/>
        <w:spacing w:line="400" w:lineRule="exact"/>
        <w:rPr>
          <w:rFonts w:eastAsia="FrutigerNextPro-Bold" w:cs="Arial"/>
          <w:b/>
          <w:bCs/>
          <w:color w:val="1A1A18"/>
          <w:sz w:val="40"/>
          <w:szCs w:val="40"/>
        </w:rPr>
      </w:pPr>
      <w:r>
        <w:rPr>
          <w:rFonts w:eastAsia="FrutigerNextPro-Bold" w:cs="Arial"/>
          <w:b/>
          <w:bCs/>
          <w:color w:val="1A1A18"/>
          <w:sz w:val="40"/>
          <w:szCs w:val="40"/>
        </w:rPr>
        <w:t xml:space="preserve">Holz-Konstruktionen </w:t>
      </w:r>
    </w:p>
    <w:p w:rsidR="007506AD" w:rsidRPr="00A96389" w:rsidRDefault="007528E7" w:rsidP="00B10E10">
      <w:pPr>
        <w:autoSpaceDE w:val="0"/>
        <w:autoSpaceDN w:val="0"/>
        <w:adjustRightInd w:val="0"/>
        <w:spacing w:line="400" w:lineRule="exact"/>
        <w:rPr>
          <w:rFonts w:eastAsia="FrutigerNextPro-Bold" w:cs="Arial"/>
          <w:b/>
          <w:bCs/>
          <w:color w:val="1A1A18"/>
          <w:sz w:val="40"/>
          <w:szCs w:val="40"/>
        </w:rPr>
      </w:pPr>
      <w:r>
        <w:rPr>
          <w:rFonts w:eastAsia="FrutigerNextPro-Bold" w:cs="Arial"/>
          <w:b/>
          <w:bCs/>
          <w:color w:val="1A1A18"/>
          <w:sz w:val="40"/>
          <w:szCs w:val="40"/>
        </w:rPr>
        <w:t>blitzschnell vergleichen</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7C50B6" w:rsidRPr="007528E7" w:rsidRDefault="007528E7" w:rsidP="00027C87">
      <w:pPr>
        <w:autoSpaceDE w:val="0"/>
        <w:autoSpaceDN w:val="0"/>
        <w:adjustRightInd w:val="0"/>
        <w:spacing w:line="400" w:lineRule="exact"/>
        <w:jc w:val="both"/>
        <w:rPr>
          <w:rFonts w:cs="Arial"/>
          <w:b/>
          <w:bCs/>
          <w:color w:val="1A1A18"/>
          <w:sz w:val="24"/>
          <w:szCs w:val="24"/>
        </w:rPr>
      </w:pPr>
      <w:r>
        <w:rPr>
          <w:rFonts w:cs="Arial"/>
          <w:b/>
          <w:color w:val="1A1A18"/>
          <w:sz w:val="24"/>
          <w:szCs w:val="24"/>
        </w:rPr>
        <w:t xml:space="preserve">Der Einsatz </w:t>
      </w:r>
      <w:r w:rsidRPr="007528E7">
        <w:rPr>
          <w:rFonts w:cs="Arial"/>
          <w:b/>
          <w:bCs/>
          <w:color w:val="1A1A18"/>
          <w:sz w:val="24"/>
          <w:szCs w:val="24"/>
        </w:rPr>
        <w:t>des Baustoffs Holz stellt hohe Ansprüche an den Brandschutz.</w:t>
      </w:r>
      <w:r>
        <w:rPr>
          <w:rFonts w:cs="Arial"/>
          <w:b/>
          <w:bCs/>
          <w:color w:val="1A1A18"/>
          <w:sz w:val="24"/>
          <w:szCs w:val="24"/>
        </w:rPr>
        <w:t xml:space="preserve"> </w:t>
      </w:r>
      <w:r w:rsidR="00B10E10">
        <w:rPr>
          <w:rFonts w:cs="Arial"/>
          <w:b/>
          <w:bCs/>
          <w:color w:val="1A1A18"/>
          <w:sz w:val="24"/>
          <w:szCs w:val="24"/>
        </w:rPr>
        <w:t>Der</w:t>
      </w:r>
      <w:r w:rsidR="00B10E10" w:rsidRPr="007528E7">
        <w:rPr>
          <w:rFonts w:cs="Arial"/>
          <w:b/>
          <w:bCs/>
          <w:color w:val="1A1A18"/>
          <w:sz w:val="24"/>
          <w:szCs w:val="24"/>
        </w:rPr>
        <w:t xml:space="preserve"> </w:t>
      </w:r>
      <w:r w:rsidR="00B10E10">
        <w:rPr>
          <w:rFonts w:cs="Arial"/>
          <w:b/>
          <w:bCs/>
          <w:color w:val="1A1A18"/>
          <w:sz w:val="24"/>
          <w:szCs w:val="24"/>
        </w:rPr>
        <w:t>„</w:t>
      </w:r>
      <w:r w:rsidRPr="007528E7">
        <w:rPr>
          <w:rFonts w:cs="Arial"/>
          <w:b/>
          <w:bCs/>
          <w:color w:val="1A1A18"/>
          <w:sz w:val="24"/>
          <w:szCs w:val="24"/>
        </w:rPr>
        <w:t>Wandaufbau</w:t>
      </w:r>
      <w:r>
        <w:rPr>
          <w:rFonts w:cs="Arial"/>
          <w:b/>
          <w:bCs/>
          <w:color w:val="1A1A18"/>
          <w:sz w:val="24"/>
          <w:szCs w:val="24"/>
        </w:rPr>
        <w:t>-K</w:t>
      </w:r>
      <w:r w:rsidRPr="007528E7">
        <w:rPr>
          <w:rFonts w:cs="Arial"/>
          <w:b/>
          <w:bCs/>
          <w:color w:val="1A1A18"/>
          <w:sz w:val="24"/>
          <w:szCs w:val="24"/>
        </w:rPr>
        <w:t>onfigurator</w:t>
      </w:r>
      <w:r w:rsidR="00B10E10">
        <w:rPr>
          <w:rFonts w:cs="Arial"/>
          <w:b/>
          <w:bCs/>
          <w:color w:val="1A1A18"/>
          <w:sz w:val="24"/>
          <w:szCs w:val="24"/>
        </w:rPr>
        <w:t>.de“</w:t>
      </w:r>
      <w:r w:rsidRPr="007528E7">
        <w:rPr>
          <w:rFonts w:cs="Arial"/>
          <w:b/>
          <w:bCs/>
          <w:color w:val="1A1A18"/>
          <w:sz w:val="24"/>
          <w:szCs w:val="24"/>
        </w:rPr>
        <w:t xml:space="preserve"> für</w:t>
      </w:r>
      <w:r>
        <w:rPr>
          <w:rFonts w:cs="Arial"/>
          <w:b/>
          <w:bCs/>
          <w:color w:val="1A1A18"/>
          <w:sz w:val="24"/>
          <w:szCs w:val="24"/>
        </w:rPr>
        <w:t xml:space="preserve"> gedämmte Außenwände im Holzbau</w:t>
      </w:r>
      <w:r w:rsidRPr="007528E7">
        <w:rPr>
          <w:rFonts w:cs="Arial"/>
          <w:b/>
          <w:bCs/>
          <w:color w:val="1A1A18"/>
          <w:sz w:val="24"/>
          <w:szCs w:val="24"/>
        </w:rPr>
        <w:t xml:space="preserve"> ermöglicht </w:t>
      </w:r>
      <w:r w:rsidR="00B10E10">
        <w:rPr>
          <w:rFonts w:cs="Arial"/>
          <w:b/>
          <w:bCs/>
          <w:color w:val="1A1A18"/>
          <w:sz w:val="24"/>
          <w:szCs w:val="24"/>
        </w:rPr>
        <w:t xml:space="preserve">jetzt online </w:t>
      </w:r>
      <w:r w:rsidRPr="007528E7">
        <w:rPr>
          <w:rFonts w:cs="Arial"/>
          <w:b/>
          <w:bCs/>
          <w:color w:val="1A1A18"/>
          <w:sz w:val="24"/>
          <w:szCs w:val="24"/>
        </w:rPr>
        <w:t xml:space="preserve">den raschen Vergleich unterschiedlicher </w:t>
      </w:r>
      <w:proofErr w:type="spellStart"/>
      <w:r w:rsidRPr="007528E7">
        <w:rPr>
          <w:rFonts w:cs="Arial"/>
          <w:b/>
          <w:bCs/>
          <w:color w:val="1A1A18"/>
          <w:sz w:val="24"/>
          <w:szCs w:val="24"/>
        </w:rPr>
        <w:t>Konstruktions</w:t>
      </w:r>
      <w:r w:rsidR="00CD6076">
        <w:rPr>
          <w:rFonts w:cs="Arial"/>
          <w:b/>
          <w:bCs/>
          <w:color w:val="1A1A18"/>
          <w:sz w:val="24"/>
          <w:szCs w:val="24"/>
        </w:rPr>
        <w:softHyphen/>
      </w:r>
      <w:r w:rsidRPr="007528E7">
        <w:rPr>
          <w:rFonts w:cs="Arial"/>
          <w:b/>
          <w:bCs/>
          <w:color w:val="1A1A18"/>
          <w:sz w:val="24"/>
          <w:szCs w:val="24"/>
        </w:rPr>
        <w:t>varianten</w:t>
      </w:r>
      <w:proofErr w:type="spellEnd"/>
      <w:r w:rsidRPr="007528E7">
        <w:rPr>
          <w:rFonts w:cs="Arial"/>
          <w:b/>
          <w:bCs/>
          <w:color w:val="1A1A18"/>
          <w:sz w:val="24"/>
          <w:szCs w:val="24"/>
        </w:rPr>
        <w:t xml:space="preserve"> und ihrer Auswirkungen auf das Erreichen von Schutzzielen.</w:t>
      </w:r>
    </w:p>
    <w:p w:rsidR="007C50B6" w:rsidRDefault="007C50B6" w:rsidP="00027C87">
      <w:pPr>
        <w:autoSpaceDE w:val="0"/>
        <w:autoSpaceDN w:val="0"/>
        <w:adjustRightInd w:val="0"/>
        <w:spacing w:line="400" w:lineRule="exact"/>
        <w:jc w:val="both"/>
        <w:rPr>
          <w:rFonts w:cs="Arial"/>
          <w:color w:val="1A1A18"/>
          <w:sz w:val="24"/>
          <w:szCs w:val="24"/>
        </w:rPr>
      </w:pPr>
    </w:p>
    <w:p w:rsidR="00363157" w:rsidRDefault="007528E7" w:rsidP="00363157">
      <w:pPr>
        <w:autoSpaceDE w:val="0"/>
        <w:autoSpaceDN w:val="0"/>
        <w:adjustRightInd w:val="0"/>
        <w:spacing w:line="400" w:lineRule="exact"/>
        <w:jc w:val="both"/>
        <w:rPr>
          <w:rFonts w:cs="Arial"/>
          <w:color w:val="1A1A18"/>
          <w:sz w:val="24"/>
          <w:szCs w:val="24"/>
        </w:rPr>
      </w:pPr>
      <w:r>
        <w:rPr>
          <w:rFonts w:cs="Arial"/>
          <w:color w:val="1A1A18"/>
          <w:sz w:val="24"/>
          <w:szCs w:val="24"/>
        </w:rPr>
        <w:t xml:space="preserve">Vor allem </w:t>
      </w:r>
      <w:r w:rsidR="002B1FA3">
        <w:rPr>
          <w:rFonts w:cs="Arial"/>
          <w:color w:val="1A1A18"/>
          <w:sz w:val="24"/>
          <w:szCs w:val="24"/>
        </w:rPr>
        <w:t>beim</w:t>
      </w:r>
      <w:r w:rsidRPr="007528E7">
        <w:rPr>
          <w:rFonts w:cs="Arial"/>
          <w:color w:val="1A1A18"/>
          <w:sz w:val="24"/>
          <w:szCs w:val="24"/>
        </w:rPr>
        <w:t xml:space="preserve"> Brandschutz müssen Planer und Holzbauprofis zahlreiche Vorschriften beachten. Eine zusätzliche Heraus</w:t>
      </w:r>
      <w:r w:rsidR="00CD6076">
        <w:rPr>
          <w:rFonts w:cs="Arial"/>
          <w:color w:val="1A1A18"/>
          <w:sz w:val="24"/>
          <w:szCs w:val="24"/>
        </w:rPr>
        <w:softHyphen/>
      </w:r>
      <w:r w:rsidRPr="007528E7">
        <w:rPr>
          <w:rFonts w:cs="Arial"/>
          <w:color w:val="1A1A18"/>
          <w:sz w:val="24"/>
          <w:szCs w:val="24"/>
        </w:rPr>
        <w:t>forderung dabei ist, dass in den meisten Fällen verschiedene Wege zum Ziel führen. Welcher Aufbau ist unter den gegebenen Voraussetzungen der richtig</w:t>
      </w:r>
      <w:r w:rsidR="002B1FA3">
        <w:rPr>
          <w:rFonts w:cs="Arial"/>
          <w:color w:val="1A1A18"/>
          <w:sz w:val="24"/>
          <w:szCs w:val="24"/>
        </w:rPr>
        <w:t>e</w:t>
      </w:r>
      <w:r w:rsidRPr="007528E7">
        <w:rPr>
          <w:rFonts w:cs="Arial"/>
          <w:color w:val="1A1A18"/>
          <w:sz w:val="24"/>
          <w:szCs w:val="24"/>
        </w:rPr>
        <w:t>? Was passiert mit den anderen Faktoren, wenn man einen bestimmten Konstruktionsparameter verändert?</w:t>
      </w:r>
    </w:p>
    <w:p w:rsidR="007528E7" w:rsidRDefault="007528E7" w:rsidP="00363157">
      <w:pPr>
        <w:autoSpaceDE w:val="0"/>
        <w:autoSpaceDN w:val="0"/>
        <w:adjustRightInd w:val="0"/>
        <w:spacing w:line="400" w:lineRule="exact"/>
        <w:jc w:val="both"/>
        <w:rPr>
          <w:rFonts w:cs="Arial"/>
          <w:color w:val="1A1A18"/>
          <w:sz w:val="24"/>
          <w:szCs w:val="24"/>
        </w:rPr>
      </w:pPr>
    </w:p>
    <w:p w:rsidR="007528E7" w:rsidRDefault="007528E7" w:rsidP="00363157">
      <w:pPr>
        <w:autoSpaceDE w:val="0"/>
        <w:autoSpaceDN w:val="0"/>
        <w:adjustRightInd w:val="0"/>
        <w:spacing w:line="400" w:lineRule="exact"/>
        <w:jc w:val="both"/>
        <w:rPr>
          <w:rFonts w:cs="Arial"/>
          <w:b/>
          <w:color w:val="1A1A18"/>
          <w:sz w:val="24"/>
          <w:szCs w:val="24"/>
        </w:rPr>
      </w:pPr>
      <w:r>
        <w:rPr>
          <w:rFonts w:cs="Arial"/>
          <w:b/>
          <w:color w:val="1A1A18"/>
          <w:sz w:val="24"/>
          <w:szCs w:val="24"/>
        </w:rPr>
        <w:t>Zwölf Parameter</w:t>
      </w:r>
    </w:p>
    <w:p w:rsidR="007528E7" w:rsidRDefault="007528E7" w:rsidP="00363157">
      <w:pPr>
        <w:autoSpaceDE w:val="0"/>
        <w:autoSpaceDN w:val="0"/>
        <w:adjustRightInd w:val="0"/>
        <w:spacing w:line="400" w:lineRule="exact"/>
        <w:jc w:val="both"/>
        <w:rPr>
          <w:rFonts w:cs="Arial"/>
          <w:b/>
          <w:color w:val="1A1A18"/>
          <w:sz w:val="24"/>
          <w:szCs w:val="24"/>
        </w:rPr>
      </w:pPr>
    </w:p>
    <w:p w:rsidR="007528E7" w:rsidRPr="007528E7" w:rsidRDefault="007528E7" w:rsidP="00363157">
      <w:pPr>
        <w:autoSpaceDE w:val="0"/>
        <w:autoSpaceDN w:val="0"/>
        <w:adjustRightInd w:val="0"/>
        <w:spacing w:line="400" w:lineRule="exact"/>
        <w:jc w:val="both"/>
        <w:rPr>
          <w:rFonts w:cs="Arial"/>
          <w:color w:val="1A1A18"/>
          <w:sz w:val="24"/>
          <w:szCs w:val="24"/>
        </w:rPr>
      </w:pPr>
      <w:r>
        <w:rPr>
          <w:rFonts w:cs="Arial"/>
          <w:color w:val="1A1A18"/>
          <w:sz w:val="24"/>
          <w:szCs w:val="24"/>
        </w:rPr>
        <w:t xml:space="preserve">Diese Fragen </w:t>
      </w:r>
      <w:r w:rsidRPr="007528E7">
        <w:rPr>
          <w:rFonts w:cs="Arial"/>
          <w:color w:val="1A1A18"/>
          <w:sz w:val="24"/>
          <w:szCs w:val="24"/>
        </w:rPr>
        <w:t>standen Pate bei der Entwicklung des Wandauf</w:t>
      </w:r>
      <w:r w:rsidR="00CD6076">
        <w:rPr>
          <w:rFonts w:cs="Arial"/>
          <w:color w:val="1A1A18"/>
          <w:sz w:val="24"/>
          <w:szCs w:val="24"/>
        </w:rPr>
        <w:softHyphen/>
      </w:r>
      <w:r w:rsidRPr="007528E7">
        <w:rPr>
          <w:rFonts w:cs="Arial"/>
          <w:color w:val="1A1A18"/>
          <w:sz w:val="24"/>
          <w:szCs w:val="24"/>
        </w:rPr>
        <w:t>bau</w:t>
      </w:r>
      <w:r>
        <w:rPr>
          <w:rFonts w:cs="Arial"/>
          <w:color w:val="1A1A18"/>
          <w:sz w:val="24"/>
          <w:szCs w:val="24"/>
        </w:rPr>
        <w:t>-</w:t>
      </w:r>
      <w:proofErr w:type="spellStart"/>
      <w:r>
        <w:rPr>
          <w:rFonts w:cs="Arial"/>
          <w:color w:val="1A1A18"/>
          <w:sz w:val="24"/>
          <w:szCs w:val="24"/>
        </w:rPr>
        <w:t>K</w:t>
      </w:r>
      <w:r w:rsidRPr="007528E7">
        <w:rPr>
          <w:rFonts w:cs="Arial"/>
          <w:color w:val="1A1A18"/>
          <w:sz w:val="24"/>
          <w:szCs w:val="24"/>
        </w:rPr>
        <w:t>onfigurators</w:t>
      </w:r>
      <w:proofErr w:type="spellEnd"/>
      <w:r w:rsidRPr="007528E7">
        <w:rPr>
          <w:rFonts w:cs="Arial"/>
          <w:color w:val="1A1A18"/>
          <w:sz w:val="24"/>
          <w:szCs w:val="24"/>
        </w:rPr>
        <w:t xml:space="preserve">. Das digitale Werkzeug ist frei zugänglich (wandaufbau-konfigurator.de) und bietet zwölf variierbare Parameter. Jede Modifikation zeigt, wie sich die Veränderung </w:t>
      </w:r>
      <w:r w:rsidRPr="007528E7">
        <w:rPr>
          <w:rFonts w:cs="Arial"/>
          <w:color w:val="1A1A18"/>
          <w:sz w:val="24"/>
          <w:szCs w:val="24"/>
        </w:rPr>
        <w:lastRenderedPageBreak/>
        <w:t>einer einzelnen Einflussgröße auf die gesamte Wandkon</w:t>
      </w:r>
      <w:r w:rsidR="00CD6076">
        <w:rPr>
          <w:rFonts w:cs="Arial"/>
          <w:color w:val="1A1A18"/>
          <w:sz w:val="24"/>
          <w:szCs w:val="24"/>
        </w:rPr>
        <w:softHyphen/>
      </w:r>
      <w:r w:rsidRPr="007528E7">
        <w:rPr>
          <w:rFonts w:cs="Arial"/>
          <w:color w:val="1A1A18"/>
          <w:sz w:val="24"/>
          <w:szCs w:val="24"/>
        </w:rPr>
        <w:t>struktion auswirkt.</w:t>
      </w:r>
      <w:bookmarkStart w:id="0" w:name="_Hlk93647232"/>
      <w:r>
        <w:rPr>
          <w:rFonts w:cs="Arial"/>
          <w:color w:val="1A1A18"/>
          <w:sz w:val="24"/>
          <w:szCs w:val="24"/>
        </w:rPr>
        <w:t xml:space="preserve"> </w:t>
      </w:r>
      <w:r w:rsidRPr="007528E7">
        <w:rPr>
          <w:rFonts w:cs="Arial"/>
          <w:color w:val="1A1A18"/>
          <w:sz w:val="24"/>
          <w:szCs w:val="24"/>
        </w:rPr>
        <w:t xml:space="preserve">Will man also beispielsweise prüfen, wie sich bestimmte Brandschutzvorgaben umsetzen lassen, werden die entsprechenden Werte angeklickt. Von Klick zu Klick werden aus einer Auswahl von 40 Wandaufbauten die geeigneten Konstruktionen mit einer Zeichnung (Wandquerschnitt) sowie die notwendigen Baustoffe und ihre Materialstärken angezeigt. Jede Variante kann </w:t>
      </w:r>
      <w:r w:rsidR="00B10E10">
        <w:rPr>
          <w:rFonts w:cs="Arial"/>
          <w:color w:val="1A1A18"/>
          <w:sz w:val="24"/>
          <w:szCs w:val="24"/>
        </w:rPr>
        <w:t xml:space="preserve">als </w:t>
      </w:r>
      <w:r w:rsidRPr="007528E7">
        <w:rPr>
          <w:rFonts w:cs="Arial"/>
          <w:color w:val="1A1A18"/>
          <w:sz w:val="24"/>
          <w:szCs w:val="24"/>
        </w:rPr>
        <w:t>PDF heruntergeladen werden, in dem Fußnoten die Quellen aller verwendeten Werte angeben. Bleiben Fragen offen, kann direkt aus der Bildschirmmaske heraus E-Mail-Kontakt mit den Holzbauspezialisten des Technical Support Centers von Sto aufgenommen werden.</w:t>
      </w:r>
      <w:bookmarkEnd w:id="0"/>
    </w:p>
    <w:p w:rsidR="00027C87" w:rsidRPr="00363157" w:rsidRDefault="00027C87" w:rsidP="00363157">
      <w:pPr>
        <w:autoSpaceDE w:val="0"/>
        <w:autoSpaceDN w:val="0"/>
        <w:adjustRightInd w:val="0"/>
        <w:spacing w:line="400" w:lineRule="exact"/>
        <w:jc w:val="right"/>
        <w:rPr>
          <w:rFonts w:cs="Arial"/>
          <w:color w:val="1A1A18"/>
          <w:sz w:val="24"/>
          <w:szCs w:val="24"/>
        </w:rPr>
      </w:pPr>
      <w:r>
        <w:rPr>
          <w:rFonts w:cs="Arial"/>
          <w:i/>
          <w:color w:val="1A1A18"/>
          <w:sz w:val="24"/>
          <w:szCs w:val="24"/>
        </w:rPr>
        <w:t xml:space="preserve">ca. </w:t>
      </w:r>
      <w:r w:rsidR="007528E7">
        <w:rPr>
          <w:rFonts w:cs="Arial"/>
          <w:i/>
          <w:color w:val="1A1A18"/>
          <w:sz w:val="24"/>
          <w:szCs w:val="24"/>
        </w:rPr>
        <w:t>1.600</w:t>
      </w:r>
      <w:r w:rsidR="00363157">
        <w:rPr>
          <w:rFonts w:cs="Arial"/>
          <w:i/>
          <w:color w:val="1A1A18"/>
          <w:sz w:val="24"/>
          <w:szCs w:val="24"/>
        </w:rPr>
        <w:t xml:space="preserve"> </w:t>
      </w:r>
      <w:r w:rsidR="00185129" w:rsidRPr="004B034A">
        <w:rPr>
          <w:rFonts w:cs="Arial"/>
          <w:i/>
          <w:color w:val="1A1A18"/>
          <w:sz w:val="24"/>
          <w:szCs w:val="24"/>
        </w:rPr>
        <w:t>Zeiche</w:t>
      </w:r>
      <w:r w:rsidR="00C616E5" w:rsidRPr="004B034A">
        <w:rPr>
          <w:rFonts w:cs="Arial"/>
          <w:i/>
          <w:color w:val="1A1A18"/>
          <w:sz w:val="24"/>
          <w:szCs w:val="24"/>
        </w:rPr>
        <w:t>n</w:t>
      </w:r>
    </w:p>
    <w:p w:rsidR="00CD6076" w:rsidRDefault="00CD6076" w:rsidP="00990051">
      <w:pPr>
        <w:spacing w:line="360" w:lineRule="auto"/>
        <w:jc w:val="both"/>
        <w:rPr>
          <w:rFonts w:eastAsia="FrutigerNextPro-Regular" w:cs="Arial"/>
          <w:b/>
          <w:color w:val="1A1A18"/>
          <w:sz w:val="24"/>
          <w:szCs w:val="24"/>
        </w:rPr>
      </w:pPr>
    </w:p>
    <w:p w:rsidR="003323B8" w:rsidRDefault="003323B8" w:rsidP="003323B8">
      <w:pPr>
        <w:spacing w:after="160" w:line="259" w:lineRule="auto"/>
        <w:rPr>
          <w:rFonts w:eastAsia="FrutigerNextPro-Regular" w:cs="Arial"/>
          <w:b/>
          <w:color w:val="1A1A18"/>
          <w:sz w:val="24"/>
          <w:szCs w:val="24"/>
        </w:rPr>
      </w:pPr>
      <w:r>
        <w:rPr>
          <w:rFonts w:eastAsia="FrutigerNextPro-Regular" w:cs="Arial"/>
          <w:b/>
          <w:color w:val="1A1A18"/>
          <w:sz w:val="24"/>
          <w:szCs w:val="24"/>
        </w:rPr>
        <w:t>Bilder:</w:t>
      </w:r>
    </w:p>
    <w:p w:rsidR="003323B8" w:rsidRDefault="003323B8" w:rsidP="003323B8">
      <w:pPr>
        <w:autoSpaceDE w:val="0"/>
        <w:autoSpaceDN w:val="0"/>
        <w:adjustRightInd w:val="0"/>
        <w:spacing w:line="360" w:lineRule="auto"/>
        <w:jc w:val="both"/>
        <w:rPr>
          <w:rFonts w:cs="Arial"/>
          <w:color w:val="1A1A18"/>
          <w:sz w:val="24"/>
          <w:szCs w:val="24"/>
        </w:rPr>
      </w:pPr>
      <w:r>
        <w:rPr>
          <w:rFonts w:cs="Arial"/>
          <w:color w:val="1A1A18"/>
          <w:sz w:val="24"/>
          <w:szCs w:val="24"/>
        </w:rPr>
        <w:t>[22-11_Wandaufbau-Konfigurator]</w:t>
      </w:r>
    </w:p>
    <w:p w:rsidR="003323B8" w:rsidRDefault="003323B8" w:rsidP="003323B8">
      <w:pPr>
        <w:autoSpaceDE w:val="0"/>
        <w:autoSpaceDN w:val="0"/>
        <w:adjustRightInd w:val="0"/>
        <w:spacing w:line="360" w:lineRule="auto"/>
        <w:jc w:val="both"/>
        <w:rPr>
          <w:rFonts w:cs="Arial"/>
          <w:color w:val="1A1A18"/>
          <w:sz w:val="24"/>
          <w:szCs w:val="24"/>
        </w:rPr>
      </w:pPr>
      <w:r>
        <w:rPr>
          <w:rFonts w:cs="Arial"/>
          <w:noProof/>
          <w:color w:val="1A1A18"/>
          <w:sz w:val="24"/>
          <w:szCs w:val="24"/>
          <w:lang w:eastAsia="de-DE"/>
        </w:rPr>
        <w:drawing>
          <wp:inline distT="0" distB="0" distL="0" distR="0">
            <wp:extent cx="3095625" cy="1543050"/>
            <wp:effectExtent l="19050" t="0" r="9525" b="0"/>
            <wp:docPr id="1" name="Bild 1" descr="22-11_Wandaufbau-Konfigurator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11_Wandaufbau-Konfigurator_K"/>
                    <pic:cNvPicPr>
                      <a:picLocks noChangeAspect="1" noChangeArrowheads="1"/>
                    </pic:cNvPicPr>
                  </pic:nvPicPr>
                  <pic:blipFill>
                    <a:blip r:embed="rId11" cstate="print"/>
                    <a:srcRect/>
                    <a:stretch>
                      <a:fillRect/>
                    </a:stretch>
                  </pic:blipFill>
                  <pic:spPr bwMode="auto">
                    <a:xfrm>
                      <a:off x="0" y="0"/>
                      <a:ext cx="3095625" cy="1543050"/>
                    </a:xfrm>
                    <a:prstGeom prst="rect">
                      <a:avLst/>
                    </a:prstGeom>
                    <a:noFill/>
                    <a:ln w="9525">
                      <a:noFill/>
                      <a:miter lim="800000"/>
                      <a:headEnd/>
                      <a:tailEnd/>
                    </a:ln>
                  </pic:spPr>
                </pic:pic>
              </a:graphicData>
            </a:graphic>
          </wp:inline>
        </w:drawing>
      </w:r>
    </w:p>
    <w:p w:rsidR="003323B8" w:rsidRDefault="003323B8" w:rsidP="003323B8">
      <w:pPr>
        <w:autoSpaceDE w:val="0"/>
        <w:autoSpaceDN w:val="0"/>
        <w:adjustRightInd w:val="0"/>
        <w:spacing w:line="360" w:lineRule="auto"/>
        <w:jc w:val="both"/>
        <w:rPr>
          <w:rFonts w:cs="Arial"/>
          <w:i/>
          <w:color w:val="1A1A18"/>
          <w:sz w:val="24"/>
          <w:szCs w:val="24"/>
        </w:rPr>
      </w:pPr>
      <w:r>
        <w:rPr>
          <w:rFonts w:cs="Arial"/>
          <w:i/>
          <w:color w:val="1A1A18"/>
          <w:sz w:val="24"/>
          <w:szCs w:val="24"/>
        </w:rPr>
        <w:t xml:space="preserve">Der digitale Wandaufbau-Konfigurator </w:t>
      </w:r>
      <w:r w:rsidRPr="007528E7">
        <w:rPr>
          <w:rFonts w:cs="Arial"/>
          <w:i/>
          <w:color w:val="1A1A18"/>
          <w:sz w:val="24"/>
          <w:szCs w:val="24"/>
        </w:rPr>
        <w:t xml:space="preserve">erlaubt den schnellen Vergleich unterschiedlicher </w:t>
      </w:r>
      <w:proofErr w:type="spellStart"/>
      <w:r w:rsidRPr="007528E7">
        <w:rPr>
          <w:rFonts w:cs="Arial"/>
          <w:i/>
          <w:color w:val="1A1A18"/>
          <w:sz w:val="24"/>
          <w:szCs w:val="24"/>
        </w:rPr>
        <w:t>Holzbaukosntruktionen</w:t>
      </w:r>
      <w:proofErr w:type="spellEnd"/>
      <w:r w:rsidRPr="007528E7">
        <w:rPr>
          <w:rFonts w:cs="Arial"/>
          <w:i/>
          <w:color w:val="1A1A18"/>
          <w:sz w:val="24"/>
          <w:szCs w:val="24"/>
        </w:rPr>
        <w:t xml:space="preserve"> </w:t>
      </w:r>
      <w:proofErr w:type="spellStart"/>
      <w:r w:rsidRPr="007528E7">
        <w:rPr>
          <w:rFonts w:cs="Arial"/>
          <w:i/>
          <w:color w:val="1A1A18"/>
          <w:sz w:val="24"/>
          <w:szCs w:val="24"/>
        </w:rPr>
        <w:t>bezuüglich</w:t>
      </w:r>
      <w:proofErr w:type="spellEnd"/>
      <w:r w:rsidRPr="007528E7">
        <w:rPr>
          <w:rFonts w:cs="Arial"/>
          <w:i/>
          <w:color w:val="1A1A18"/>
          <w:sz w:val="24"/>
          <w:szCs w:val="24"/>
        </w:rPr>
        <w:t xml:space="preserve"> Brandschutz- und Schallschutzanforderungen</w:t>
      </w:r>
      <w:r>
        <w:rPr>
          <w:rFonts w:cs="Arial"/>
          <w:i/>
          <w:color w:val="1A1A18"/>
          <w:sz w:val="24"/>
          <w:szCs w:val="24"/>
        </w:rPr>
        <w:t>.</w:t>
      </w:r>
    </w:p>
    <w:p w:rsidR="003323B8" w:rsidRPr="007528E7" w:rsidRDefault="003323B8" w:rsidP="003323B8">
      <w:pPr>
        <w:spacing w:line="360" w:lineRule="auto"/>
        <w:jc w:val="right"/>
        <w:rPr>
          <w:rFonts w:cs="Arial"/>
          <w:color w:val="1A1A18"/>
          <w:sz w:val="24"/>
          <w:szCs w:val="24"/>
        </w:rPr>
      </w:pPr>
      <w:r>
        <w:rPr>
          <w:rFonts w:cs="Arial"/>
          <w:color w:val="1A1A18"/>
          <w:sz w:val="24"/>
          <w:szCs w:val="24"/>
        </w:rPr>
        <w:t xml:space="preserve">Bild: </w:t>
      </w:r>
      <w:proofErr w:type="spellStart"/>
      <w:r>
        <w:rPr>
          <w:rFonts w:cs="Arial"/>
          <w:color w:val="1A1A18"/>
          <w:sz w:val="24"/>
          <w:szCs w:val="24"/>
        </w:rPr>
        <w:t>bongkarn</w:t>
      </w:r>
      <w:proofErr w:type="spellEnd"/>
      <w:r>
        <w:rPr>
          <w:rFonts w:cs="Arial"/>
          <w:color w:val="1A1A18"/>
          <w:sz w:val="24"/>
          <w:szCs w:val="24"/>
        </w:rPr>
        <w:t xml:space="preserve"> - stock.adobe.com / Sto SE &amp; Co. KGaA</w:t>
      </w:r>
    </w:p>
    <w:p w:rsidR="003323B8" w:rsidRDefault="003323B8" w:rsidP="003323B8">
      <w:pPr>
        <w:spacing w:after="160" w:line="259" w:lineRule="auto"/>
        <w:rPr>
          <w:rFonts w:cs="Arial"/>
          <w:color w:val="1A1A18"/>
          <w:sz w:val="24"/>
          <w:szCs w:val="24"/>
        </w:rPr>
      </w:pPr>
      <w:r>
        <w:rPr>
          <w:rFonts w:cs="Arial"/>
          <w:color w:val="1A1A18"/>
          <w:sz w:val="24"/>
          <w:szCs w:val="24"/>
        </w:rPr>
        <w:br w:type="page"/>
      </w:r>
    </w:p>
    <w:p w:rsidR="003323B8" w:rsidRDefault="003323B8" w:rsidP="003323B8">
      <w:pPr>
        <w:autoSpaceDE w:val="0"/>
        <w:autoSpaceDN w:val="0"/>
        <w:adjustRightInd w:val="0"/>
        <w:spacing w:line="360" w:lineRule="auto"/>
        <w:jc w:val="both"/>
        <w:rPr>
          <w:rFonts w:cs="Arial"/>
          <w:color w:val="1A1A18"/>
          <w:sz w:val="24"/>
          <w:szCs w:val="24"/>
        </w:rPr>
      </w:pPr>
      <w:r>
        <w:rPr>
          <w:rFonts w:cs="Arial"/>
          <w:color w:val="1A1A18"/>
          <w:sz w:val="24"/>
          <w:szCs w:val="24"/>
        </w:rPr>
        <w:lastRenderedPageBreak/>
        <w:t>[22-11_Aufbau-EPS]                    [22-11_Aufbau-MIWO]</w:t>
      </w:r>
    </w:p>
    <w:p w:rsidR="003323B8" w:rsidRDefault="003323B8" w:rsidP="003323B8">
      <w:pPr>
        <w:autoSpaceDE w:val="0"/>
        <w:autoSpaceDN w:val="0"/>
        <w:adjustRightInd w:val="0"/>
        <w:spacing w:line="360" w:lineRule="auto"/>
        <w:jc w:val="both"/>
        <w:rPr>
          <w:rFonts w:cs="Arial"/>
          <w:color w:val="1A1A18"/>
          <w:sz w:val="24"/>
          <w:szCs w:val="24"/>
        </w:rPr>
      </w:pPr>
      <w:r>
        <w:rPr>
          <w:rFonts w:cs="Arial"/>
          <w:noProof/>
          <w:color w:val="1A1A18"/>
          <w:sz w:val="24"/>
          <w:szCs w:val="24"/>
          <w:lang w:eastAsia="de-DE"/>
        </w:rPr>
        <w:drawing>
          <wp:inline distT="0" distB="0" distL="0" distR="0">
            <wp:extent cx="2095500" cy="1285875"/>
            <wp:effectExtent l="19050" t="0" r="0" b="0"/>
            <wp:docPr id="2" name="Bild 2" descr="22-11_Aufbau-EPS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11_Aufbau-EPS_K"/>
                    <pic:cNvPicPr>
                      <a:picLocks noChangeAspect="1" noChangeArrowheads="1"/>
                    </pic:cNvPicPr>
                  </pic:nvPicPr>
                  <pic:blipFill>
                    <a:blip r:embed="rId12" cstate="print"/>
                    <a:srcRect/>
                    <a:stretch>
                      <a:fillRect/>
                    </a:stretch>
                  </pic:blipFill>
                  <pic:spPr bwMode="auto">
                    <a:xfrm>
                      <a:off x="0" y="0"/>
                      <a:ext cx="2095500" cy="1285875"/>
                    </a:xfrm>
                    <a:prstGeom prst="rect">
                      <a:avLst/>
                    </a:prstGeom>
                    <a:noFill/>
                    <a:ln w="9525">
                      <a:noFill/>
                      <a:miter lim="800000"/>
                      <a:headEnd/>
                      <a:tailEnd/>
                    </a:ln>
                  </pic:spPr>
                </pic:pic>
              </a:graphicData>
            </a:graphic>
          </wp:inline>
        </w:drawing>
      </w:r>
      <w:r>
        <w:rPr>
          <w:rFonts w:cs="Arial"/>
          <w:noProof/>
          <w:color w:val="1A1A18"/>
          <w:sz w:val="24"/>
          <w:szCs w:val="24"/>
          <w:lang w:eastAsia="de-DE"/>
        </w:rPr>
        <w:drawing>
          <wp:inline distT="0" distB="0" distL="0" distR="0">
            <wp:extent cx="2124075" cy="1285875"/>
            <wp:effectExtent l="19050" t="0" r="9525" b="0"/>
            <wp:docPr id="3" name="Bild 3" descr="22-11_Aufbau-MIWO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11_Aufbau-MIWO_K"/>
                    <pic:cNvPicPr>
                      <a:picLocks noChangeAspect="1" noChangeArrowheads="1"/>
                    </pic:cNvPicPr>
                  </pic:nvPicPr>
                  <pic:blipFill>
                    <a:blip r:embed="rId13" cstate="print"/>
                    <a:srcRect/>
                    <a:stretch>
                      <a:fillRect/>
                    </a:stretch>
                  </pic:blipFill>
                  <pic:spPr bwMode="auto">
                    <a:xfrm>
                      <a:off x="0" y="0"/>
                      <a:ext cx="2124075" cy="1285875"/>
                    </a:xfrm>
                    <a:prstGeom prst="rect">
                      <a:avLst/>
                    </a:prstGeom>
                    <a:noFill/>
                    <a:ln w="9525">
                      <a:noFill/>
                      <a:miter lim="800000"/>
                      <a:headEnd/>
                      <a:tailEnd/>
                    </a:ln>
                  </pic:spPr>
                </pic:pic>
              </a:graphicData>
            </a:graphic>
          </wp:inline>
        </w:drawing>
      </w:r>
    </w:p>
    <w:p w:rsidR="003323B8" w:rsidRPr="00104D4D" w:rsidRDefault="003323B8" w:rsidP="003323B8">
      <w:pPr>
        <w:autoSpaceDE w:val="0"/>
        <w:autoSpaceDN w:val="0"/>
        <w:adjustRightInd w:val="0"/>
        <w:spacing w:line="360" w:lineRule="auto"/>
        <w:jc w:val="both"/>
        <w:rPr>
          <w:rFonts w:cs="Arial"/>
          <w:i/>
          <w:color w:val="1A1A18"/>
          <w:sz w:val="24"/>
          <w:szCs w:val="24"/>
        </w:rPr>
      </w:pPr>
      <w:r>
        <w:rPr>
          <w:rFonts w:cs="Arial"/>
          <w:i/>
          <w:color w:val="1A1A18"/>
          <w:sz w:val="24"/>
          <w:szCs w:val="24"/>
        </w:rPr>
        <w:t xml:space="preserve">Der direkte </w:t>
      </w:r>
      <w:r w:rsidRPr="007528E7">
        <w:rPr>
          <w:rFonts w:cs="Arial"/>
          <w:i/>
          <w:color w:val="1A1A18"/>
          <w:sz w:val="24"/>
          <w:szCs w:val="24"/>
        </w:rPr>
        <w:t>Vergleich macht deutlich: Das Kapselkriterium K</w:t>
      </w:r>
      <w:r w:rsidRPr="007528E7">
        <w:rPr>
          <w:rFonts w:cs="Arial"/>
          <w:i/>
          <w:color w:val="1A1A18"/>
          <w:sz w:val="24"/>
          <w:szCs w:val="24"/>
          <w:vertAlign w:val="subscript"/>
        </w:rPr>
        <w:t>2</w:t>
      </w:r>
      <w:r w:rsidRPr="007528E7">
        <w:rPr>
          <w:rFonts w:cs="Arial"/>
          <w:i/>
          <w:color w:val="1A1A18"/>
          <w:sz w:val="24"/>
          <w:szCs w:val="24"/>
        </w:rPr>
        <w:t xml:space="preserve">60 kann auf unterschiedlichen Wegen erreicht werden. Diese haben jedoch Auswirkungen auf die Anzahl der </w:t>
      </w:r>
      <w:proofErr w:type="spellStart"/>
      <w:r w:rsidRPr="007528E7">
        <w:rPr>
          <w:rFonts w:cs="Arial"/>
          <w:i/>
          <w:color w:val="1A1A18"/>
          <w:sz w:val="24"/>
          <w:szCs w:val="24"/>
        </w:rPr>
        <w:t>Beplankungen</w:t>
      </w:r>
      <w:proofErr w:type="spellEnd"/>
      <w:r w:rsidRPr="007528E7">
        <w:rPr>
          <w:rFonts w:cs="Arial"/>
          <w:i/>
          <w:color w:val="1A1A18"/>
          <w:sz w:val="24"/>
          <w:szCs w:val="24"/>
        </w:rPr>
        <w:t xml:space="preserve"> innerhalb des Wandaufbaus</w:t>
      </w:r>
      <w:r>
        <w:rPr>
          <w:rFonts w:cs="Arial"/>
          <w:i/>
          <w:color w:val="1A1A18"/>
          <w:sz w:val="24"/>
          <w:szCs w:val="24"/>
        </w:rPr>
        <w:t>.</w:t>
      </w:r>
    </w:p>
    <w:p w:rsidR="00587F38" w:rsidRPr="003323B8" w:rsidRDefault="003323B8" w:rsidP="003323B8">
      <w:pPr>
        <w:spacing w:line="360" w:lineRule="auto"/>
        <w:jc w:val="right"/>
        <w:rPr>
          <w:rFonts w:cs="Arial"/>
          <w:color w:val="1A1A18"/>
          <w:sz w:val="24"/>
          <w:szCs w:val="24"/>
        </w:rPr>
      </w:pPr>
      <w:r>
        <w:rPr>
          <w:rFonts w:cs="Arial"/>
          <w:color w:val="1A1A18"/>
          <w:sz w:val="24"/>
          <w:szCs w:val="24"/>
        </w:rPr>
        <w:t>Grafiken: Sto SE &amp; Co. KGaA</w:t>
      </w:r>
    </w:p>
    <w:p w:rsidR="00587F38" w:rsidRPr="00C616E5" w:rsidRDefault="00587F38" w:rsidP="006B57CE">
      <w:pPr>
        <w:autoSpaceDE w:val="0"/>
        <w:autoSpaceDN w:val="0"/>
        <w:adjustRightInd w:val="0"/>
        <w:spacing w:line="400" w:lineRule="exact"/>
        <w:jc w:val="righ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CD6076" w:rsidRDefault="00CD6076">
      <w:pPr>
        <w:spacing w:after="160" w:line="259" w:lineRule="auto"/>
        <w:rPr>
          <w:rFonts w:eastAsia="FrutigerNextPro-Regular" w:cs="Arial"/>
          <w:color w:val="1A1A18"/>
          <w:sz w:val="24"/>
          <w:szCs w:val="24"/>
        </w:rPr>
      </w:pPr>
    </w:p>
    <w:p w:rsidR="00CD6076" w:rsidRDefault="00CD6076">
      <w:pPr>
        <w:spacing w:after="160" w:line="259" w:lineRule="auto"/>
        <w:rPr>
          <w:rFonts w:eastAsia="FrutigerNextPro-Regular" w:cs="Arial"/>
          <w:color w:val="1A1A18"/>
          <w:sz w:val="24"/>
          <w:szCs w:val="24"/>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t>Sto: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color w:val="1A1A18"/>
          <w:szCs w:val="20"/>
        </w:rPr>
        <w:t xml:space="preserve">Die Sto </w:t>
      </w:r>
      <w:r w:rsidRPr="00363157">
        <w:rPr>
          <w:rFonts w:eastAsia="FrutigerNextPro-Regular" w:cs="Arial"/>
          <w:bCs/>
          <w:color w:val="1A1A18"/>
          <w:szCs w:val="20"/>
        </w:rPr>
        <w:t>SE &amp; Co. KGaA</w:t>
      </w:r>
      <w:r w:rsidRPr="00363157">
        <w:rPr>
          <w:rFonts w:eastAsia="FrutigerNextPro-Regular" w:cs="Arial"/>
          <w:color w:val="1A1A18"/>
          <w:szCs w:val="20"/>
        </w:rPr>
        <w:t xml:space="preserve"> (Stühlingen) ist ein international füh</w:t>
      </w:r>
      <w:r w:rsidRPr="00363157">
        <w:rPr>
          <w:rFonts w:eastAsia="FrutigerNextPro-Regular" w:cs="Arial"/>
          <w:color w:val="1A1A18"/>
          <w:szCs w:val="20"/>
        </w:rPr>
        <w:softHyphen/>
        <w:t>render Hersteller von Produkten und Systemen zur Beschich</w:t>
      </w:r>
      <w:r w:rsidRPr="00363157">
        <w:rPr>
          <w:rFonts w:eastAsia="FrutigerNextPro-Regular" w:cs="Arial"/>
          <w:color w:val="1A1A18"/>
          <w:szCs w:val="20"/>
        </w:rPr>
        <w:softHyphen/>
        <w:t>tung von Gebäuden. Ihr breites Portfolio umfasst Farben, Putze, Lacke, Fassaden-Dämmsysteme, Werkstoffe für die Betoninstandsetzung, Bodenbeschichtungen, Akustik- und vor</w:t>
      </w:r>
      <w:r w:rsidRPr="00363157">
        <w:rPr>
          <w:rFonts w:eastAsia="FrutigerNextPro-Regular" w:cs="Arial"/>
          <w:color w:val="1A1A18"/>
          <w:szCs w:val="20"/>
        </w:rPr>
        <w:softHyphen/>
        <w:t xml:space="preserve">gehängte </w:t>
      </w:r>
      <w:proofErr w:type="spellStart"/>
      <w:r w:rsidRPr="00363157">
        <w:rPr>
          <w:rFonts w:eastAsia="FrutigerNextPro-Regular" w:cs="Arial"/>
          <w:color w:val="1A1A18"/>
          <w:szCs w:val="20"/>
        </w:rPr>
        <w:t>hinterlüftete</w:t>
      </w:r>
      <w:proofErr w:type="spellEnd"/>
      <w:r w:rsidRPr="00363157">
        <w:rPr>
          <w:rFonts w:eastAsia="FrutigerNextPro-Regular" w:cs="Arial"/>
          <w:color w:val="1A1A18"/>
          <w:szCs w:val="20"/>
        </w:rPr>
        <w:t xml:space="preserve"> Fassadensysteme. Mit mehr als 5.500 Mitarbeitern erwirtschaftete der Konzern 2020 einen Umsatz von  1,433 Milliarden Euro. Ende 2020 war der Sto-Konzern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Sto-Gruppe, das ökolo</w:t>
      </w:r>
      <w:r w:rsidRPr="00363157">
        <w:rPr>
          <w:rFonts w:eastAsia="FrutigerNextPro-Regular" w:cs="Arial"/>
          <w:color w:val="1A1A18"/>
          <w:szCs w:val="20"/>
        </w:rPr>
        <w:softHyphen/>
        <w:t>gische und gesellschaftliche Verantwortung einschließt. Keim</w:t>
      </w:r>
      <w:r w:rsidRPr="00363157">
        <w:rPr>
          <w:rFonts w:eastAsia="FrutigerNextPro-Regular" w:cs="Arial"/>
          <w:color w:val="1A1A18"/>
          <w:szCs w:val="20"/>
        </w:rPr>
        <w:softHyphen/>
        <w:t xml:space="preserve">zelle des Unternehmens war ein 1835 gegründetes Kalkwerk, das in den 1930er Jahren </w:t>
      </w:r>
      <w:r w:rsidR="003323B8">
        <w:rPr>
          <w:rFonts w:eastAsia="FrutigerNextPro-Regular" w:cs="Arial"/>
          <w:color w:val="1A1A18"/>
          <w:szCs w:val="20"/>
        </w:rPr>
        <w:t>von Wilhelm Stotmeister übernom</w:t>
      </w:r>
      <w:r w:rsidRPr="00363157">
        <w:rPr>
          <w:rFonts w:eastAsia="FrutigerNextPro-Regular" w:cs="Arial"/>
          <w:color w:val="1A1A18"/>
          <w:szCs w:val="20"/>
        </w:rPr>
        <w:t>men wurde.</w:t>
      </w:r>
    </w:p>
    <w:p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4B034A">
      <w:headerReference w:type="even" r:id="rId14"/>
      <w:headerReference w:type="default" r:id="rId15"/>
      <w:footerReference w:type="even" r:id="rId16"/>
      <w:footerReference w:type="default" r:id="rId17"/>
      <w:headerReference w:type="first" r:id="rId18"/>
      <w:footerReference w:type="first" r:id="rId19"/>
      <w:pgSz w:w="11906" w:h="16838"/>
      <w:pgMar w:top="2835" w:right="3402"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E10" w:rsidRDefault="00B10E10" w:rsidP="007506AD">
      <w:r>
        <w:separator/>
      </w:r>
    </w:p>
  </w:endnote>
  <w:endnote w:type="continuationSeparator" w:id="0">
    <w:p w:rsidR="00B10E10" w:rsidRDefault="00B10E10"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altName w:val="Barlow"/>
    <w:panose1 w:val="00000000000000000000"/>
    <w:charset w:val="00"/>
    <w:family w:val="swiss"/>
    <w:notTrueType/>
    <w:pitch w:val="default"/>
    <w:sig w:usb0="00000003" w:usb1="00000000" w:usb2="00000000" w:usb3="00000000" w:csb0="00000001"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5" w:rsidRDefault="00F110B5">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0" w:rsidRDefault="00B10E10" w:rsidP="00075080">
    <w:pPr>
      <w:pStyle w:val="Fuzeile"/>
      <w:rPr>
        <w:sz w:val="18"/>
        <w:szCs w:val="18"/>
      </w:rPr>
    </w:pPr>
  </w:p>
  <w:p w:rsidR="00B10E10" w:rsidRDefault="00B10E10" w:rsidP="00075080">
    <w:pPr>
      <w:pStyle w:val="Fuzeile"/>
      <w:jc w:val="right"/>
    </w:pPr>
    <w:r w:rsidRPr="00620719">
      <w:rPr>
        <w:sz w:val="18"/>
        <w:szCs w:val="18"/>
      </w:rPr>
      <w:t xml:space="preserve">Seite </w:t>
    </w:r>
    <w:r w:rsidR="007109DE" w:rsidRPr="00620719">
      <w:rPr>
        <w:sz w:val="18"/>
        <w:szCs w:val="18"/>
      </w:rPr>
      <w:fldChar w:fldCharType="begin"/>
    </w:r>
    <w:r w:rsidRPr="00620719">
      <w:rPr>
        <w:sz w:val="18"/>
        <w:szCs w:val="18"/>
      </w:rPr>
      <w:instrText>PAGE</w:instrText>
    </w:r>
    <w:r w:rsidR="007109DE" w:rsidRPr="00620719">
      <w:rPr>
        <w:sz w:val="18"/>
        <w:szCs w:val="18"/>
      </w:rPr>
      <w:fldChar w:fldCharType="separate"/>
    </w:r>
    <w:r w:rsidR="00C208EB">
      <w:rPr>
        <w:noProof/>
        <w:sz w:val="18"/>
        <w:szCs w:val="18"/>
      </w:rPr>
      <w:t>2</w:t>
    </w:r>
    <w:r w:rsidR="007109DE" w:rsidRPr="00620719">
      <w:rPr>
        <w:sz w:val="18"/>
        <w:szCs w:val="18"/>
      </w:rPr>
      <w:fldChar w:fldCharType="end"/>
    </w:r>
    <w:r w:rsidRPr="00620719">
      <w:rPr>
        <w:sz w:val="18"/>
        <w:szCs w:val="18"/>
      </w:rPr>
      <w:t xml:space="preserve"> von </w:t>
    </w:r>
    <w:r w:rsidR="007109DE" w:rsidRPr="00620719">
      <w:rPr>
        <w:sz w:val="18"/>
        <w:szCs w:val="18"/>
      </w:rPr>
      <w:fldChar w:fldCharType="begin"/>
    </w:r>
    <w:r w:rsidRPr="00620719">
      <w:rPr>
        <w:sz w:val="18"/>
        <w:szCs w:val="18"/>
      </w:rPr>
      <w:instrText>NUMPAGES</w:instrText>
    </w:r>
    <w:r w:rsidR="007109DE" w:rsidRPr="00620719">
      <w:rPr>
        <w:sz w:val="18"/>
        <w:szCs w:val="18"/>
      </w:rPr>
      <w:fldChar w:fldCharType="separate"/>
    </w:r>
    <w:r w:rsidR="00C208EB">
      <w:rPr>
        <w:noProof/>
        <w:sz w:val="18"/>
        <w:szCs w:val="18"/>
      </w:rPr>
      <w:t>3</w:t>
    </w:r>
    <w:r w:rsidR="007109DE" w:rsidRPr="0062071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5" w:rsidRDefault="00F110B5">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E10" w:rsidRDefault="00B10E10" w:rsidP="007506AD">
      <w:r>
        <w:separator/>
      </w:r>
    </w:p>
  </w:footnote>
  <w:footnote w:type="continuationSeparator" w:id="0">
    <w:p w:rsidR="00B10E10" w:rsidRDefault="00B10E10"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5" w:rsidRDefault="00F110B5">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B10E10" w:rsidRDefault="00B10E10" w:rsidP="00075080">
        <w:pPr>
          <w:pStyle w:val="Kopfzeile"/>
          <w:jc w:val="center"/>
          <w:rPr>
            <w:rFonts w:eastAsiaTheme="minorHAnsi" w:cstheme="minorBidi"/>
            <w:sz w:val="22"/>
            <w:szCs w:val="22"/>
          </w:rPr>
        </w:pPr>
        <w:r w:rsidRPr="00AC6477">
          <w:rPr>
            <w:sz w:val="22"/>
            <w:szCs w:val="22"/>
          </w:rPr>
          <w:t>-</w:t>
        </w:r>
        <w:r w:rsidR="007109DE" w:rsidRPr="00AC6477">
          <w:rPr>
            <w:sz w:val="22"/>
            <w:szCs w:val="22"/>
          </w:rPr>
          <w:fldChar w:fldCharType="begin"/>
        </w:r>
        <w:r w:rsidRPr="00AC6477">
          <w:rPr>
            <w:sz w:val="22"/>
            <w:szCs w:val="22"/>
          </w:rPr>
          <w:instrText xml:space="preserve"> PAGE   \* MERGEFORMAT </w:instrText>
        </w:r>
        <w:r w:rsidR="007109DE" w:rsidRPr="00AC6477">
          <w:rPr>
            <w:sz w:val="22"/>
            <w:szCs w:val="22"/>
          </w:rPr>
          <w:fldChar w:fldCharType="separate"/>
        </w:r>
        <w:r w:rsidR="00C208EB">
          <w:rPr>
            <w:noProof/>
            <w:sz w:val="22"/>
            <w:szCs w:val="22"/>
          </w:rPr>
          <w:t>2</w:t>
        </w:r>
        <w:r w:rsidR="007109DE" w:rsidRPr="00AC6477">
          <w:rPr>
            <w:sz w:val="22"/>
            <w:szCs w:val="22"/>
          </w:rPr>
          <w:fldChar w:fldCharType="end"/>
        </w:r>
        <w:r w:rsidRPr="00AC6477">
          <w:rPr>
            <w:sz w:val="22"/>
            <w:szCs w:val="22"/>
          </w:rPr>
          <w:t>-</w:t>
        </w:r>
      </w:p>
    </w:sdtContent>
  </w:sdt>
  <w:p w:rsidR="00B10E10" w:rsidRDefault="00B10E10">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0" w:rsidRDefault="00B10E10">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5297"/>
  </w:hdrShapeDefaults>
  <w:footnotePr>
    <w:footnote w:id="-1"/>
    <w:footnote w:id="0"/>
  </w:footnotePr>
  <w:endnotePr>
    <w:endnote w:id="-1"/>
    <w:endnote w:id="0"/>
  </w:endnotePr>
  <w:compat>
    <w:useFELayout/>
  </w:compat>
  <w:rsids>
    <w:rsidRoot w:val="007506AD"/>
    <w:rsid w:val="0000078F"/>
    <w:rsid w:val="00007FC4"/>
    <w:rsid w:val="0002746B"/>
    <w:rsid w:val="00027C87"/>
    <w:rsid w:val="0004534B"/>
    <w:rsid w:val="0005011E"/>
    <w:rsid w:val="00052D75"/>
    <w:rsid w:val="0007181C"/>
    <w:rsid w:val="00072B94"/>
    <w:rsid w:val="00075080"/>
    <w:rsid w:val="0007617A"/>
    <w:rsid w:val="0008788B"/>
    <w:rsid w:val="000A695E"/>
    <w:rsid w:val="000C2857"/>
    <w:rsid w:val="000C7D5C"/>
    <w:rsid w:val="000E6098"/>
    <w:rsid w:val="00104D4D"/>
    <w:rsid w:val="00106F39"/>
    <w:rsid w:val="001127D6"/>
    <w:rsid w:val="00113669"/>
    <w:rsid w:val="00130723"/>
    <w:rsid w:val="00144086"/>
    <w:rsid w:val="00145634"/>
    <w:rsid w:val="00160585"/>
    <w:rsid w:val="00160877"/>
    <w:rsid w:val="00165054"/>
    <w:rsid w:val="001767A8"/>
    <w:rsid w:val="00184391"/>
    <w:rsid w:val="00185129"/>
    <w:rsid w:val="00185456"/>
    <w:rsid w:val="001A4789"/>
    <w:rsid w:val="001B2AFA"/>
    <w:rsid w:val="001C04B0"/>
    <w:rsid w:val="001C1C92"/>
    <w:rsid w:val="001C2D38"/>
    <w:rsid w:val="001D63F3"/>
    <w:rsid w:val="001F15F1"/>
    <w:rsid w:val="002267AE"/>
    <w:rsid w:val="00291C90"/>
    <w:rsid w:val="0029282A"/>
    <w:rsid w:val="00295632"/>
    <w:rsid w:val="002A57AE"/>
    <w:rsid w:val="002B026C"/>
    <w:rsid w:val="002B1FA3"/>
    <w:rsid w:val="002C1203"/>
    <w:rsid w:val="002E1B4C"/>
    <w:rsid w:val="002E7870"/>
    <w:rsid w:val="00321C25"/>
    <w:rsid w:val="003323B8"/>
    <w:rsid w:val="00363157"/>
    <w:rsid w:val="00386F3E"/>
    <w:rsid w:val="003A39FB"/>
    <w:rsid w:val="003D27E3"/>
    <w:rsid w:val="003D4C4E"/>
    <w:rsid w:val="003E4EB4"/>
    <w:rsid w:val="003F3FAB"/>
    <w:rsid w:val="004053BF"/>
    <w:rsid w:val="00416E2F"/>
    <w:rsid w:val="00432BCC"/>
    <w:rsid w:val="0046344C"/>
    <w:rsid w:val="0047411E"/>
    <w:rsid w:val="00476868"/>
    <w:rsid w:val="0047762E"/>
    <w:rsid w:val="004A3916"/>
    <w:rsid w:val="004A45BE"/>
    <w:rsid w:val="004B034A"/>
    <w:rsid w:val="004B2DC4"/>
    <w:rsid w:val="004C4766"/>
    <w:rsid w:val="004C4834"/>
    <w:rsid w:val="004C667B"/>
    <w:rsid w:val="004C7089"/>
    <w:rsid w:val="0050055C"/>
    <w:rsid w:val="00500D22"/>
    <w:rsid w:val="00515D0E"/>
    <w:rsid w:val="00516D19"/>
    <w:rsid w:val="005254B4"/>
    <w:rsid w:val="0053146C"/>
    <w:rsid w:val="00543DEE"/>
    <w:rsid w:val="00556FE9"/>
    <w:rsid w:val="00561F05"/>
    <w:rsid w:val="00587F38"/>
    <w:rsid w:val="00591C81"/>
    <w:rsid w:val="00596DD2"/>
    <w:rsid w:val="005C03EC"/>
    <w:rsid w:val="005C06E1"/>
    <w:rsid w:val="005C757A"/>
    <w:rsid w:val="005D23B3"/>
    <w:rsid w:val="005E19BB"/>
    <w:rsid w:val="005E1CEF"/>
    <w:rsid w:val="005E33B3"/>
    <w:rsid w:val="005F0789"/>
    <w:rsid w:val="005F4701"/>
    <w:rsid w:val="005F652E"/>
    <w:rsid w:val="00604B30"/>
    <w:rsid w:val="006213DB"/>
    <w:rsid w:val="00631B3C"/>
    <w:rsid w:val="00633CD8"/>
    <w:rsid w:val="00634773"/>
    <w:rsid w:val="006436D7"/>
    <w:rsid w:val="00653E37"/>
    <w:rsid w:val="00672DC9"/>
    <w:rsid w:val="0068127D"/>
    <w:rsid w:val="00681AD8"/>
    <w:rsid w:val="0069713E"/>
    <w:rsid w:val="006B57CE"/>
    <w:rsid w:val="006E0521"/>
    <w:rsid w:val="006E51D3"/>
    <w:rsid w:val="007076E8"/>
    <w:rsid w:val="007109DE"/>
    <w:rsid w:val="00740494"/>
    <w:rsid w:val="007506AD"/>
    <w:rsid w:val="007509A3"/>
    <w:rsid w:val="007528E7"/>
    <w:rsid w:val="007625E1"/>
    <w:rsid w:val="00766EFB"/>
    <w:rsid w:val="007744E2"/>
    <w:rsid w:val="0078231A"/>
    <w:rsid w:val="007A0F1A"/>
    <w:rsid w:val="007C50B6"/>
    <w:rsid w:val="007D1236"/>
    <w:rsid w:val="007E02DB"/>
    <w:rsid w:val="007E334A"/>
    <w:rsid w:val="00800913"/>
    <w:rsid w:val="008019EC"/>
    <w:rsid w:val="00824B40"/>
    <w:rsid w:val="0083493E"/>
    <w:rsid w:val="00852B92"/>
    <w:rsid w:val="00857B2B"/>
    <w:rsid w:val="00863260"/>
    <w:rsid w:val="00867B5C"/>
    <w:rsid w:val="008C49E6"/>
    <w:rsid w:val="008D3409"/>
    <w:rsid w:val="008E54AF"/>
    <w:rsid w:val="00902E31"/>
    <w:rsid w:val="00906ECD"/>
    <w:rsid w:val="00907F26"/>
    <w:rsid w:val="00911249"/>
    <w:rsid w:val="0091605B"/>
    <w:rsid w:val="00920702"/>
    <w:rsid w:val="00922CFF"/>
    <w:rsid w:val="0092710F"/>
    <w:rsid w:val="0093035F"/>
    <w:rsid w:val="009423F3"/>
    <w:rsid w:val="009551E0"/>
    <w:rsid w:val="00960395"/>
    <w:rsid w:val="00961B9A"/>
    <w:rsid w:val="00975C23"/>
    <w:rsid w:val="00977DCA"/>
    <w:rsid w:val="00981ADE"/>
    <w:rsid w:val="00987946"/>
    <w:rsid w:val="00990051"/>
    <w:rsid w:val="00992C66"/>
    <w:rsid w:val="009C6F7E"/>
    <w:rsid w:val="009E3EBE"/>
    <w:rsid w:val="009F0EF1"/>
    <w:rsid w:val="009F6778"/>
    <w:rsid w:val="009F740D"/>
    <w:rsid w:val="00A016AA"/>
    <w:rsid w:val="00A149EC"/>
    <w:rsid w:val="00A240A1"/>
    <w:rsid w:val="00A2705F"/>
    <w:rsid w:val="00A34B89"/>
    <w:rsid w:val="00A36461"/>
    <w:rsid w:val="00A45245"/>
    <w:rsid w:val="00A71AC6"/>
    <w:rsid w:val="00A81D3D"/>
    <w:rsid w:val="00A91952"/>
    <w:rsid w:val="00A96389"/>
    <w:rsid w:val="00AD0C81"/>
    <w:rsid w:val="00AD1D85"/>
    <w:rsid w:val="00AD4E41"/>
    <w:rsid w:val="00AF1346"/>
    <w:rsid w:val="00B10E10"/>
    <w:rsid w:val="00B20193"/>
    <w:rsid w:val="00B36D79"/>
    <w:rsid w:val="00B40D9B"/>
    <w:rsid w:val="00B41F12"/>
    <w:rsid w:val="00B422F6"/>
    <w:rsid w:val="00B56BA5"/>
    <w:rsid w:val="00B84660"/>
    <w:rsid w:val="00B958F0"/>
    <w:rsid w:val="00BA2074"/>
    <w:rsid w:val="00BC6E6B"/>
    <w:rsid w:val="00BD12AA"/>
    <w:rsid w:val="00BD7491"/>
    <w:rsid w:val="00BF53D9"/>
    <w:rsid w:val="00C14760"/>
    <w:rsid w:val="00C17147"/>
    <w:rsid w:val="00C208EB"/>
    <w:rsid w:val="00C24EC2"/>
    <w:rsid w:val="00C27B8E"/>
    <w:rsid w:val="00C52623"/>
    <w:rsid w:val="00C616E5"/>
    <w:rsid w:val="00C74F54"/>
    <w:rsid w:val="00C84138"/>
    <w:rsid w:val="00C87991"/>
    <w:rsid w:val="00CC19FA"/>
    <w:rsid w:val="00CC6202"/>
    <w:rsid w:val="00CD6076"/>
    <w:rsid w:val="00CD62B2"/>
    <w:rsid w:val="00CD7BA8"/>
    <w:rsid w:val="00CE2966"/>
    <w:rsid w:val="00CE7218"/>
    <w:rsid w:val="00D10A5F"/>
    <w:rsid w:val="00D20136"/>
    <w:rsid w:val="00D24389"/>
    <w:rsid w:val="00D5170C"/>
    <w:rsid w:val="00D519CE"/>
    <w:rsid w:val="00D543D0"/>
    <w:rsid w:val="00DA0EAC"/>
    <w:rsid w:val="00DA4E32"/>
    <w:rsid w:val="00DE35FF"/>
    <w:rsid w:val="00DE65C6"/>
    <w:rsid w:val="00DF2914"/>
    <w:rsid w:val="00E00CE6"/>
    <w:rsid w:val="00E53397"/>
    <w:rsid w:val="00E75D63"/>
    <w:rsid w:val="00E8619F"/>
    <w:rsid w:val="00EA6903"/>
    <w:rsid w:val="00EB04E0"/>
    <w:rsid w:val="00EC0976"/>
    <w:rsid w:val="00F110B5"/>
    <w:rsid w:val="00F24130"/>
    <w:rsid w:val="00F26E68"/>
    <w:rsid w:val="00F51439"/>
    <w:rsid w:val="00F71E96"/>
    <w:rsid w:val="00F93F0F"/>
    <w:rsid w:val="00F94A74"/>
    <w:rsid w:val="00FA21FF"/>
    <w:rsid w:val="00FA3FBB"/>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3.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94282-4D4E-4B6F-80A1-F0E0E846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3066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j.birkenfeld@pr-neu.de</cp:lastModifiedBy>
  <cp:revision>3</cp:revision>
  <cp:lastPrinted>2022-02-28T14:27:00Z</cp:lastPrinted>
  <dcterms:created xsi:type="dcterms:W3CDTF">2022-02-28T14:27:00Z</dcterms:created>
  <dcterms:modified xsi:type="dcterms:W3CDTF">2022-02-28T14:27:00Z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