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42" w:rsidRPr="00415B4F" w:rsidRDefault="00A71842" w:rsidP="003D15D1">
      <w:pPr>
        <w:pStyle w:val="Kopfzeile"/>
        <w:tabs>
          <w:tab w:val="clear" w:pos="4536"/>
          <w:tab w:val="clear" w:pos="9072"/>
          <w:tab w:val="left" w:pos="182"/>
        </w:tabs>
        <w:spacing w:after="0" w:line="360" w:lineRule="auto"/>
        <w:jc w:val="both"/>
        <w:rPr>
          <w:rFonts w:ascii="Arial" w:eastAsia="Times New Roman" w:hAnsi="Arial"/>
          <w:sz w:val="16"/>
          <w:szCs w:val="16"/>
          <w:lang w:eastAsia="de-DE"/>
        </w:rPr>
      </w:pPr>
      <w:r w:rsidRPr="00415B4F">
        <w:rPr>
          <w:rFonts w:ascii="Arial" w:eastAsia="Times New Roman" w:hAnsi="Arial"/>
          <w:sz w:val="16"/>
          <w:szCs w:val="16"/>
          <w:lang w:eastAsia="de-DE"/>
        </w:rPr>
        <w:t>Text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 xml:space="preserve"> steht online unter: pr-neu.de/</w:t>
      </w:r>
      <w:proofErr w:type="spellStart"/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new</w:t>
      </w:r>
      <w:r w:rsidR="00935FE6" w:rsidRPr="00415B4F">
        <w:rPr>
          <w:rFonts w:ascii="Arial" w:eastAsia="Times New Roman" w:hAnsi="Arial"/>
          <w:sz w:val="16"/>
          <w:szCs w:val="16"/>
          <w:lang w:eastAsia="de-DE"/>
        </w:rPr>
        <w:t>s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room</w:t>
      </w:r>
      <w:proofErr w:type="spellEnd"/>
    </w:p>
    <w:p w:rsidR="00C44730" w:rsidRPr="00415B4F" w:rsidRDefault="008C49FB" w:rsidP="003D15D1">
      <w:pPr>
        <w:pStyle w:val="Kopfzeile"/>
        <w:tabs>
          <w:tab w:val="clear" w:pos="4536"/>
          <w:tab w:val="clear" w:pos="9072"/>
          <w:tab w:val="left" w:pos="182"/>
        </w:tabs>
        <w:spacing w:after="0" w:line="360" w:lineRule="auto"/>
        <w:jc w:val="right"/>
        <w:rPr>
          <w:rFonts w:ascii="Arial" w:eastAsia="Times New Roman" w:hAnsi="Arial"/>
          <w:sz w:val="16"/>
          <w:szCs w:val="16"/>
          <w:lang w:eastAsia="de-DE"/>
        </w:rPr>
      </w:pPr>
      <w:r>
        <w:rPr>
          <w:rFonts w:ascii="Arial" w:eastAsia="Times New Roman" w:hAnsi="Arial"/>
          <w:sz w:val="16"/>
          <w:szCs w:val="16"/>
          <w:lang w:eastAsia="de-DE"/>
        </w:rPr>
        <w:t>05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/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21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-</w:t>
      </w:r>
      <w:r w:rsidR="003404B4" w:rsidRPr="00415B4F">
        <w:rPr>
          <w:rFonts w:ascii="Arial" w:eastAsia="Times New Roman" w:hAnsi="Arial"/>
          <w:sz w:val="16"/>
          <w:szCs w:val="16"/>
          <w:lang w:eastAsia="de-DE"/>
        </w:rPr>
        <w:t>0</w:t>
      </w:r>
      <w:r w:rsidR="003A2966">
        <w:rPr>
          <w:rFonts w:ascii="Arial" w:eastAsia="Times New Roman" w:hAnsi="Arial"/>
          <w:sz w:val="16"/>
          <w:szCs w:val="16"/>
          <w:lang w:eastAsia="de-DE"/>
        </w:rPr>
        <w:t>6</w:t>
      </w:r>
    </w:p>
    <w:p w:rsidR="00342F6B" w:rsidRDefault="00342F6B" w:rsidP="00342F6B">
      <w:pPr>
        <w:pStyle w:val="Textkrper3"/>
        <w:tabs>
          <w:tab w:val="left" w:pos="1665"/>
        </w:tabs>
        <w:spacing w:line="276" w:lineRule="auto"/>
        <w:ind w:right="-284"/>
        <w:rPr>
          <w:bCs/>
          <w:color w:val="auto"/>
          <w:sz w:val="28"/>
          <w:szCs w:val="28"/>
        </w:rPr>
      </w:pPr>
      <w:r w:rsidRPr="00342F6B">
        <w:rPr>
          <w:bCs/>
          <w:color w:val="auto"/>
          <w:sz w:val="28"/>
          <w:szCs w:val="28"/>
        </w:rPr>
        <w:t xml:space="preserve">IEB GmbH Brilon: ESD-Versiegelung </w:t>
      </w:r>
    </w:p>
    <w:p w:rsidR="00342F6B" w:rsidRPr="00342F6B" w:rsidRDefault="00342F6B" w:rsidP="00342F6B">
      <w:pPr>
        <w:pStyle w:val="Textkrper3"/>
        <w:tabs>
          <w:tab w:val="left" w:pos="1665"/>
        </w:tabs>
        <w:spacing w:line="276" w:lineRule="auto"/>
        <w:ind w:right="-284"/>
        <w:rPr>
          <w:bCs/>
          <w:color w:val="auto"/>
          <w:sz w:val="28"/>
          <w:szCs w:val="28"/>
        </w:rPr>
      </w:pPr>
      <w:r w:rsidRPr="00342F6B">
        <w:rPr>
          <w:bCs/>
          <w:color w:val="auto"/>
          <w:sz w:val="28"/>
          <w:szCs w:val="28"/>
        </w:rPr>
        <w:t>StoPox WL 113 schützt Mensch und Material</w:t>
      </w:r>
    </w:p>
    <w:p w:rsidR="00342F6B" w:rsidRPr="00342F6B" w:rsidRDefault="00342F6B" w:rsidP="00342F6B">
      <w:pPr>
        <w:pStyle w:val="Headline18p"/>
        <w:spacing w:line="276" w:lineRule="auto"/>
        <w:rPr>
          <w:rFonts w:ascii="Arial" w:hAnsi="Arial" w:cs="Arial"/>
          <w:b/>
          <w:sz w:val="40"/>
          <w:szCs w:val="40"/>
        </w:rPr>
      </w:pPr>
    </w:p>
    <w:p w:rsidR="00A9179F" w:rsidRDefault="00342F6B" w:rsidP="00342F6B">
      <w:pPr>
        <w:pStyle w:val="Headline18p"/>
        <w:spacing w:line="276" w:lineRule="auto"/>
        <w:rPr>
          <w:rFonts w:ascii="Arial" w:hAnsi="Arial" w:cs="Arial"/>
          <w:b/>
          <w:sz w:val="40"/>
          <w:szCs w:val="40"/>
        </w:rPr>
      </w:pPr>
      <w:r w:rsidRPr="00342F6B">
        <w:rPr>
          <w:rFonts w:ascii="Arial" w:hAnsi="Arial" w:cs="Arial"/>
          <w:b/>
          <w:sz w:val="40"/>
          <w:szCs w:val="40"/>
        </w:rPr>
        <w:t>Produktionshalle</w:t>
      </w:r>
      <w:r>
        <w:rPr>
          <w:rFonts w:ascii="Arial" w:hAnsi="Arial" w:cs="Arial"/>
          <w:b/>
          <w:sz w:val="40"/>
          <w:szCs w:val="40"/>
        </w:rPr>
        <w:t xml:space="preserve"> erweitert </w:t>
      </w:r>
    </w:p>
    <w:p w:rsidR="00342F6B" w:rsidRPr="00342F6B" w:rsidRDefault="00342F6B" w:rsidP="00342F6B">
      <w:pPr>
        <w:pStyle w:val="Headline18p"/>
        <w:spacing w:line="276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und mit ESD-Schutz ausgestattet</w:t>
      </w:r>
    </w:p>
    <w:p w:rsidR="00342F6B" w:rsidRDefault="00342F6B" w:rsidP="003D15D1">
      <w:pPr>
        <w:spacing w:line="360" w:lineRule="auto"/>
        <w:jc w:val="both"/>
        <w:rPr>
          <w:rFonts w:cs="Times New Roman"/>
          <w:b/>
          <w:sz w:val="24"/>
          <w:szCs w:val="24"/>
          <w:lang w:eastAsia="ja-JP"/>
        </w:rPr>
      </w:pPr>
    </w:p>
    <w:p w:rsidR="00442AC2" w:rsidRPr="00442AC2" w:rsidRDefault="00E91DAE" w:rsidP="000D67C8">
      <w:pPr>
        <w:spacing w:line="400" w:lineRule="exac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240 Quadratmeter Hallenboden </w:t>
      </w:r>
      <w:r w:rsidR="00342F6B">
        <w:rPr>
          <w:b/>
          <w:sz w:val="24"/>
          <w:szCs w:val="24"/>
        </w:rPr>
        <w:t xml:space="preserve">mit </w:t>
      </w:r>
      <w:r>
        <w:rPr>
          <w:b/>
          <w:sz w:val="24"/>
          <w:szCs w:val="24"/>
        </w:rPr>
        <w:t>eine</w:t>
      </w:r>
      <w:r w:rsidR="00342F6B">
        <w:rPr>
          <w:b/>
          <w:sz w:val="24"/>
          <w:szCs w:val="24"/>
        </w:rPr>
        <w:t>r</w:t>
      </w:r>
      <w:r>
        <w:rPr>
          <w:b/>
          <w:sz w:val="24"/>
          <w:szCs w:val="24"/>
        </w:rPr>
        <w:t xml:space="preserve"> leitfähige</w:t>
      </w:r>
      <w:r w:rsidR="00342F6B"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 xml:space="preserve"> Boden</w:t>
      </w:r>
      <w:r w:rsidR="00342F6B"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t>beschichtung</w:t>
      </w:r>
      <w:r w:rsidR="00342F6B">
        <w:rPr>
          <w:b/>
          <w:sz w:val="24"/>
          <w:szCs w:val="24"/>
        </w:rPr>
        <w:t xml:space="preserve"> für höchsten</w:t>
      </w:r>
      <w:r>
        <w:rPr>
          <w:b/>
          <w:sz w:val="24"/>
          <w:szCs w:val="24"/>
        </w:rPr>
        <w:t xml:space="preserve"> ESD- und Personenschutz</w:t>
      </w:r>
      <w:r w:rsidR="00342F6B">
        <w:rPr>
          <w:b/>
          <w:sz w:val="24"/>
          <w:szCs w:val="24"/>
        </w:rPr>
        <w:t xml:space="preserve">: Diese Anforderung löste der Elektro-Spezialist IEB GmbH mit der </w:t>
      </w:r>
      <w:r w:rsidR="008201E4">
        <w:rPr>
          <w:b/>
          <w:sz w:val="24"/>
          <w:szCs w:val="24"/>
        </w:rPr>
        <w:t xml:space="preserve">Versiegelung </w:t>
      </w:r>
      <w:r>
        <w:rPr>
          <w:b/>
          <w:sz w:val="24"/>
          <w:szCs w:val="24"/>
        </w:rPr>
        <w:t>StoPox</w:t>
      </w:r>
      <w:r w:rsidR="00C122F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WL</w:t>
      </w:r>
      <w:r w:rsidR="00C122F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113</w:t>
      </w:r>
      <w:r w:rsidR="00342F6B">
        <w:rPr>
          <w:b/>
          <w:sz w:val="24"/>
          <w:szCs w:val="24"/>
        </w:rPr>
        <w:t xml:space="preserve"> von StoCretec. Durch diese Wahl</w:t>
      </w:r>
      <w:r>
        <w:rPr>
          <w:b/>
          <w:sz w:val="24"/>
          <w:szCs w:val="24"/>
        </w:rPr>
        <w:t xml:space="preserve"> ist </w:t>
      </w:r>
      <w:r w:rsidR="006F6659">
        <w:rPr>
          <w:b/>
          <w:sz w:val="24"/>
          <w:szCs w:val="24"/>
        </w:rPr>
        <w:t>der Boden</w:t>
      </w:r>
      <w:r>
        <w:rPr>
          <w:b/>
          <w:sz w:val="24"/>
          <w:szCs w:val="24"/>
        </w:rPr>
        <w:t xml:space="preserve"> zudem sehr widerstandsfähig und leicht zu reinigen. </w:t>
      </w:r>
    </w:p>
    <w:p w:rsidR="00442AC2" w:rsidRDefault="00442AC2" w:rsidP="000D67C8">
      <w:pPr>
        <w:spacing w:line="400" w:lineRule="exact"/>
        <w:jc w:val="both"/>
        <w:rPr>
          <w:sz w:val="24"/>
          <w:szCs w:val="24"/>
        </w:rPr>
      </w:pPr>
    </w:p>
    <w:p w:rsidR="00342F6B" w:rsidRDefault="00342F6B" w:rsidP="00342F6B">
      <w:pPr>
        <w:spacing w:line="400" w:lineRule="exact"/>
        <w:jc w:val="both"/>
        <w:rPr>
          <w:sz w:val="24"/>
          <w:szCs w:val="24"/>
        </w:rPr>
      </w:pPr>
      <w:r w:rsidRPr="00342F6B">
        <w:rPr>
          <w:sz w:val="24"/>
          <w:szCs w:val="24"/>
        </w:rPr>
        <w:t>Die IEB GmbH in Brilon (Sauerland) entwickelt und produziert Batterieladegeräte und Stromversorgungssysteme</w:t>
      </w:r>
      <w:r>
        <w:rPr>
          <w:sz w:val="24"/>
          <w:szCs w:val="24"/>
        </w:rPr>
        <w:t xml:space="preserve"> und zählt zu den</w:t>
      </w:r>
      <w:r w:rsidRPr="00342F6B">
        <w:rPr>
          <w:sz w:val="24"/>
          <w:szCs w:val="24"/>
        </w:rPr>
        <w:t xml:space="preserve"> führende</w:t>
      </w:r>
      <w:r>
        <w:rPr>
          <w:sz w:val="24"/>
          <w:szCs w:val="24"/>
        </w:rPr>
        <w:t>n</w:t>
      </w:r>
      <w:r w:rsidRPr="00342F6B">
        <w:rPr>
          <w:sz w:val="24"/>
          <w:szCs w:val="24"/>
        </w:rPr>
        <w:t xml:space="preserve"> High-Tech-</w:t>
      </w:r>
      <w:r w:rsidR="006A3793">
        <w:rPr>
          <w:sz w:val="24"/>
          <w:szCs w:val="24"/>
        </w:rPr>
        <w:t>S</w:t>
      </w:r>
      <w:r w:rsidR="006A3793" w:rsidRPr="00342F6B">
        <w:rPr>
          <w:sz w:val="24"/>
          <w:szCs w:val="24"/>
        </w:rPr>
        <w:t>ystemhersteller</w:t>
      </w:r>
      <w:r w:rsidR="00C122FE">
        <w:rPr>
          <w:sz w:val="24"/>
          <w:szCs w:val="24"/>
        </w:rPr>
        <w:t>n</w:t>
      </w:r>
      <w:r w:rsidR="006A3793" w:rsidRPr="00342F6B">
        <w:rPr>
          <w:sz w:val="24"/>
          <w:szCs w:val="24"/>
        </w:rPr>
        <w:t xml:space="preserve"> </w:t>
      </w:r>
      <w:r w:rsidRPr="00342F6B">
        <w:rPr>
          <w:sz w:val="24"/>
          <w:szCs w:val="24"/>
        </w:rPr>
        <w:t>in Europa. Im Rahmen einer Teilerweiterung und Instandsetzung erhielt die Produktionshalle von IEB eine leitfähige Bodenbeschichtung. Für die 240 Quadratmeter Hallenboden wählten Bauherr und Verarbeiter die ableitfähige Versiegelung StoPox WL 113.</w:t>
      </w:r>
    </w:p>
    <w:p w:rsidR="00342F6B" w:rsidRPr="00342F6B" w:rsidRDefault="00342F6B" w:rsidP="00342F6B">
      <w:pPr>
        <w:spacing w:line="400" w:lineRule="exact"/>
        <w:jc w:val="both"/>
        <w:rPr>
          <w:sz w:val="24"/>
          <w:szCs w:val="24"/>
        </w:rPr>
      </w:pPr>
    </w:p>
    <w:p w:rsidR="00342F6B" w:rsidRDefault="00342F6B" w:rsidP="00342F6B">
      <w:pPr>
        <w:spacing w:line="400" w:lineRule="exact"/>
        <w:jc w:val="both"/>
        <w:rPr>
          <w:sz w:val="24"/>
          <w:szCs w:val="24"/>
        </w:rPr>
      </w:pPr>
      <w:r w:rsidRPr="00342F6B">
        <w:rPr>
          <w:sz w:val="24"/>
          <w:szCs w:val="24"/>
        </w:rPr>
        <w:t xml:space="preserve">Das elektrisch sehr gut leitfähige Epoxidharz ist der optimale Allrounder für alle Böden. </w:t>
      </w:r>
      <w:r w:rsidR="00A9179F">
        <w:rPr>
          <w:sz w:val="24"/>
          <w:szCs w:val="24"/>
        </w:rPr>
        <w:t>Es</w:t>
      </w:r>
      <w:r w:rsidRPr="00342F6B">
        <w:rPr>
          <w:sz w:val="24"/>
          <w:szCs w:val="24"/>
        </w:rPr>
        <w:t xml:space="preserve"> erfüllt die Anforderungen an den ESD-Schutz gemäß EN 61340-5-1 sowie an den Personen</w:t>
      </w:r>
      <w:r w:rsidR="006A3793">
        <w:rPr>
          <w:sz w:val="24"/>
          <w:szCs w:val="24"/>
        </w:rPr>
        <w:softHyphen/>
      </w:r>
      <w:r w:rsidRPr="00342F6B">
        <w:rPr>
          <w:sz w:val="24"/>
          <w:szCs w:val="24"/>
        </w:rPr>
        <w:t xml:space="preserve">schutz gemäß DIN VDE 0100-410. Der emissionsarme </w:t>
      </w:r>
      <w:proofErr w:type="spellStart"/>
      <w:r w:rsidRPr="00342F6B">
        <w:rPr>
          <w:sz w:val="24"/>
          <w:szCs w:val="24"/>
        </w:rPr>
        <w:t>Wasser</w:t>
      </w:r>
      <w:r w:rsidR="00A9179F">
        <w:rPr>
          <w:sz w:val="24"/>
          <w:szCs w:val="24"/>
        </w:rPr>
        <w:softHyphen/>
      </w:r>
      <w:r w:rsidRPr="00342F6B">
        <w:rPr>
          <w:sz w:val="24"/>
          <w:szCs w:val="24"/>
        </w:rPr>
        <w:t>lack</w:t>
      </w:r>
      <w:proofErr w:type="spellEnd"/>
      <w:r w:rsidRPr="00342F6B">
        <w:rPr>
          <w:sz w:val="24"/>
          <w:szCs w:val="24"/>
        </w:rPr>
        <w:t xml:space="preserve"> findet Anwendung auf mineralischen Untergründen wie Beton und Zementestrich, auf Magnesia- und </w:t>
      </w:r>
      <w:proofErr w:type="spellStart"/>
      <w:r w:rsidRPr="00342F6B">
        <w:rPr>
          <w:sz w:val="24"/>
          <w:szCs w:val="24"/>
        </w:rPr>
        <w:t>Calciumsulfat</w:t>
      </w:r>
      <w:r w:rsidR="00A9179F">
        <w:rPr>
          <w:sz w:val="24"/>
          <w:szCs w:val="24"/>
        </w:rPr>
        <w:softHyphen/>
      </w:r>
      <w:r w:rsidRPr="00342F6B">
        <w:rPr>
          <w:sz w:val="24"/>
          <w:szCs w:val="24"/>
        </w:rPr>
        <w:t>estrichen</w:t>
      </w:r>
      <w:proofErr w:type="spellEnd"/>
      <w:r w:rsidRPr="00342F6B">
        <w:rPr>
          <w:sz w:val="24"/>
          <w:szCs w:val="24"/>
        </w:rPr>
        <w:t xml:space="preserve"> sowie auf alten und neuen ableitfähigen </w:t>
      </w:r>
      <w:proofErr w:type="spellStart"/>
      <w:r w:rsidRPr="00342F6B">
        <w:rPr>
          <w:sz w:val="24"/>
          <w:szCs w:val="24"/>
        </w:rPr>
        <w:t>Epoxidharz</w:t>
      </w:r>
      <w:r w:rsidR="00A9179F">
        <w:rPr>
          <w:sz w:val="24"/>
          <w:szCs w:val="24"/>
        </w:rPr>
        <w:softHyphen/>
      </w:r>
      <w:r w:rsidRPr="00342F6B">
        <w:rPr>
          <w:sz w:val="24"/>
          <w:szCs w:val="24"/>
        </w:rPr>
        <w:lastRenderedPageBreak/>
        <w:t>beschichtungen</w:t>
      </w:r>
      <w:proofErr w:type="spellEnd"/>
      <w:r w:rsidRPr="00342F6B">
        <w:rPr>
          <w:sz w:val="24"/>
          <w:szCs w:val="24"/>
        </w:rPr>
        <w:t>. Er lässt sich schnell und einfach manuell oder mit dem Airlessgerät verarbeiten. Eine hervorragende Reinigungsfähigkeit und sehr gute Verschleiß</w:t>
      </w:r>
      <w:r w:rsidR="00C122FE">
        <w:rPr>
          <w:sz w:val="24"/>
          <w:szCs w:val="24"/>
        </w:rPr>
        <w:t>beständigkeit</w:t>
      </w:r>
      <w:r w:rsidRPr="00342F6B">
        <w:rPr>
          <w:sz w:val="24"/>
          <w:szCs w:val="24"/>
        </w:rPr>
        <w:t xml:space="preserve"> runden die Eigenschaften ab.</w:t>
      </w:r>
    </w:p>
    <w:p w:rsidR="00342F6B" w:rsidRPr="00342F6B" w:rsidRDefault="00342F6B" w:rsidP="00342F6B">
      <w:pPr>
        <w:spacing w:line="400" w:lineRule="exact"/>
        <w:jc w:val="both"/>
        <w:rPr>
          <w:sz w:val="24"/>
          <w:szCs w:val="24"/>
        </w:rPr>
      </w:pPr>
    </w:p>
    <w:p w:rsidR="00342F6B" w:rsidRPr="00342F6B" w:rsidRDefault="00342F6B" w:rsidP="00342F6B">
      <w:pPr>
        <w:spacing w:line="400" w:lineRule="exact"/>
        <w:jc w:val="both"/>
        <w:rPr>
          <w:sz w:val="24"/>
          <w:szCs w:val="24"/>
        </w:rPr>
      </w:pPr>
      <w:r w:rsidRPr="00342F6B">
        <w:rPr>
          <w:sz w:val="24"/>
          <w:szCs w:val="24"/>
        </w:rPr>
        <w:t xml:space="preserve">Nach der Untergrundvorbereitung wurde die Fläche mit dem wässrigen Epoxidharz StoPox WG 100 grundiert. Unebenheiten egalisierte der ausführende Fachbetrieb mit einer </w:t>
      </w:r>
      <w:proofErr w:type="spellStart"/>
      <w:r w:rsidRPr="00342F6B">
        <w:rPr>
          <w:sz w:val="24"/>
          <w:szCs w:val="24"/>
        </w:rPr>
        <w:t>Kratz</w:t>
      </w:r>
      <w:r w:rsidR="00A9179F">
        <w:rPr>
          <w:sz w:val="24"/>
          <w:szCs w:val="24"/>
        </w:rPr>
        <w:softHyphen/>
      </w:r>
      <w:r w:rsidRPr="00342F6B">
        <w:rPr>
          <w:sz w:val="24"/>
          <w:szCs w:val="24"/>
        </w:rPr>
        <w:t>spachtelung</w:t>
      </w:r>
      <w:proofErr w:type="spellEnd"/>
      <w:r w:rsidRPr="00342F6B">
        <w:rPr>
          <w:sz w:val="24"/>
          <w:szCs w:val="24"/>
        </w:rPr>
        <w:t xml:space="preserve">. Durch die </w:t>
      </w:r>
      <w:proofErr w:type="spellStart"/>
      <w:r w:rsidRPr="00342F6B">
        <w:rPr>
          <w:sz w:val="24"/>
          <w:szCs w:val="24"/>
        </w:rPr>
        <w:t>Abstreuung</w:t>
      </w:r>
      <w:proofErr w:type="spellEnd"/>
      <w:r w:rsidRPr="00342F6B">
        <w:rPr>
          <w:sz w:val="24"/>
          <w:szCs w:val="24"/>
        </w:rPr>
        <w:t xml:space="preserve"> mit Quarzsand und die finale Versiegelung </w:t>
      </w:r>
      <w:r w:rsidR="008201E4">
        <w:rPr>
          <w:sz w:val="24"/>
          <w:szCs w:val="24"/>
        </w:rPr>
        <w:t xml:space="preserve">mit </w:t>
      </w:r>
      <w:r w:rsidRPr="00342F6B">
        <w:rPr>
          <w:sz w:val="24"/>
          <w:szCs w:val="24"/>
        </w:rPr>
        <w:t xml:space="preserve">StoPox WL 113 entstand eine optisch leicht strukturierte Oberfläche. Die effiziente </w:t>
      </w:r>
      <w:proofErr w:type="spellStart"/>
      <w:r w:rsidRPr="00342F6B">
        <w:rPr>
          <w:sz w:val="24"/>
          <w:szCs w:val="24"/>
        </w:rPr>
        <w:t>Airlessverarbeitung</w:t>
      </w:r>
      <w:proofErr w:type="spellEnd"/>
      <w:r w:rsidRPr="00342F6B">
        <w:rPr>
          <w:sz w:val="24"/>
          <w:szCs w:val="24"/>
        </w:rPr>
        <w:t xml:space="preserve"> machte den Boden zeitnah wieder vollständig nutzbar.</w:t>
      </w:r>
    </w:p>
    <w:p w:rsidR="00A71842" w:rsidRPr="00AF55DE" w:rsidRDefault="009B2FC9" w:rsidP="00EC6562">
      <w:pPr>
        <w:autoSpaceDE w:val="0"/>
        <w:autoSpaceDN w:val="0"/>
        <w:adjustRightInd w:val="0"/>
        <w:spacing w:line="400" w:lineRule="exac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3</w:t>
      </w:r>
      <w:r w:rsidR="00A9179F">
        <w:rPr>
          <w:i/>
          <w:sz w:val="24"/>
          <w:szCs w:val="24"/>
        </w:rPr>
        <w:t>2</w:t>
      </w:r>
      <w:r w:rsidR="00A71842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Zeilen / ca.</w:t>
      </w:r>
      <w:r w:rsidR="00A71842">
        <w:rPr>
          <w:i/>
          <w:sz w:val="24"/>
          <w:szCs w:val="24"/>
        </w:rPr>
        <w:t xml:space="preserve"> </w:t>
      </w:r>
      <w:r w:rsidR="00A9179F">
        <w:rPr>
          <w:i/>
          <w:sz w:val="24"/>
          <w:szCs w:val="24"/>
        </w:rPr>
        <w:t>1.6</w:t>
      </w:r>
      <w:r>
        <w:rPr>
          <w:i/>
          <w:sz w:val="24"/>
          <w:szCs w:val="24"/>
        </w:rPr>
        <w:t>00</w:t>
      </w:r>
      <w:r w:rsidR="005D4289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Zeichen</w:t>
      </w:r>
    </w:p>
    <w:p w:rsidR="00214A5A" w:rsidRDefault="00214A5A" w:rsidP="003D15D1">
      <w:pPr>
        <w:spacing w:line="360" w:lineRule="auto"/>
        <w:jc w:val="both"/>
        <w:rPr>
          <w:b/>
          <w:sz w:val="24"/>
          <w:szCs w:val="24"/>
        </w:rPr>
      </w:pPr>
    </w:p>
    <w:p w:rsidR="003D15D1" w:rsidRDefault="000D79F8" w:rsidP="000D79F8">
      <w:pPr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3D15D1">
        <w:rPr>
          <w:b/>
          <w:sz w:val="24"/>
          <w:szCs w:val="24"/>
        </w:rPr>
        <w:t>autafel</w:t>
      </w:r>
    </w:p>
    <w:p w:rsidR="003D15D1" w:rsidRPr="003D15D1" w:rsidRDefault="003D15D1" w:rsidP="00A9179F">
      <w:pPr>
        <w:tabs>
          <w:tab w:val="left" w:pos="1560"/>
        </w:tabs>
        <w:spacing w:line="400" w:lineRule="exact"/>
        <w:ind w:left="1560" w:right="-1135" w:hanging="1560"/>
        <w:rPr>
          <w:sz w:val="24"/>
          <w:szCs w:val="24"/>
        </w:rPr>
      </w:pPr>
      <w:r w:rsidRPr="003D15D1">
        <w:rPr>
          <w:sz w:val="24"/>
          <w:szCs w:val="24"/>
        </w:rPr>
        <w:t xml:space="preserve">Objekt: </w:t>
      </w:r>
      <w:r w:rsidR="005806BC">
        <w:rPr>
          <w:sz w:val="24"/>
          <w:szCs w:val="24"/>
        </w:rPr>
        <w:tab/>
      </w:r>
      <w:r w:rsidR="00CA4F39" w:rsidRPr="00CA4F39">
        <w:rPr>
          <w:sz w:val="24"/>
        </w:rPr>
        <w:t>Produktionshalle</w:t>
      </w:r>
      <w:r w:rsidR="00A9179F">
        <w:rPr>
          <w:sz w:val="24"/>
        </w:rPr>
        <w:br/>
      </w:r>
      <w:r w:rsidR="00CA4F39" w:rsidRPr="00CA4F39">
        <w:rPr>
          <w:sz w:val="24"/>
        </w:rPr>
        <w:t>Indust</w:t>
      </w:r>
      <w:r w:rsidR="00CA4F39">
        <w:rPr>
          <w:sz w:val="24"/>
        </w:rPr>
        <w:t>rie Elektronik Brilon GmbH</w:t>
      </w:r>
      <w:r w:rsidR="00CA4F39" w:rsidRPr="00CA4F39">
        <w:rPr>
          <w:sz w:val="24"/>
        </w:rPr>
        <w:t>, Brilon</w:t>
      </w:r>
    </w:p>
    <w:p w:rsidR="003D15D1" w:rsidRPr="003D15D1" w:rsidRDefault="003D15D1" w:rsidP="00A9179F">
      <w:pPr>
        <w:tabs>
          <w:tab w:val="left" w:pos="1560"/>
        </w:tabs>
        <w:spacing w:line="400" w:lineRule="exact"/>
        <w:ind w:right="-1135"/>
        <w:rPr>
          <w:sz w:val="24"/>
          <w:szCs w:val="24"/>
        </w:rPr>
      </w:pPr>
      <w:proofErr w:type="spellStart"/>
      <w:r w:rsidRPr="003D15D1">
        <w:rPr>
          <w:sz w:val="24"/>
          <w:szCs w:val="24"/>
        </w:rPr>
        <w:t>Verarbeiter</w:t>
      </w:r>
      <w:proofErr w:type="spellEnd"/>
      <w:r w:rsidRPr="003D15D1">
        <w:rPr>
          <w:sz w:val="24"/>
          <w:szCs w:val="24"/>
        </w:rPr>
        <w:t xml:space="preserve">: </w:t>
      </w:r>
      <w:r w:rsidR="005806BC">
        <w:rPr>
          <w:sz w:val="24"/>
          <w:szCs w:val="24"/>
        </w:rPr>
        <w:tab/>
      </w:r>
      <w:r w:rsidR="00CA4F39" w:rsidRPr="00CA4F39">
        <w:rPr>
          <w:sz w:val="24"/>
          <w:szCs w:val="24"/>
        </w:rPr>
        <w:t xml:space="preserve">H.G. </w:t>
      </w:r>
      <w:proofErr w:type="spellStart"/>
      <w:r w:rsidR="00CA4F39" w:rsidRPr="00CA4F39">
        <w:rPr>
          <w:sz w:val="24"/>
          <w:szCs w:val="24"/>
        </w:rPr>
        <w:t>Schaid</w:t>
      </w:r>
      <w:proofErr w:type="spellEnd"/>
      <w:r w:rsidR="00CA4F39" w:rsidRPr="00CA4F39">
        <w:rPr>
          <w:sz w:val="24"/>
          <w:szCs w:val="24"/>
        </w:rPr>
        <w:t>, Winterberg</w:t>
      </w:r>
    </w:p>
    <w:p w:rsidR="003D15D1" w:rsidRPr="003D15D1" w:rsidRDefault="003D15D1" w:rsidP="00CA4F39">
      <w:pPr>
        <w:spacing w:line="400" w:lineRule="exact"/>
        <w:ind w:right="-1135"/>
        <w:rPr>
          <w:sz w:val="24"/>
          <w:szCs w:val="24"/>
        </w:rPr>
      </w:pPr>
      <w:r w:rsidRPr="005806BC">
        <w:rPr>
          <w:sz w:val="24"/>
          <w:szCs w:val="24"/>
          <w:u w:val="single"/>
        </w:rPr>
        <w:t>Produkte</w:t>
      </w:r>
      <w:r w:rsidRPr="003D15D1">
        <w:rPr>
          <w:sz w:val="24"/>
          <w:szCs w:val="24"/>
        </w:rPr>
        <w:t xml:space="preserve">: </w:t>
      </w:r>
    </w:p>
    <w:p w:rsidR="00CA4F39" w:rsidRPr="00CA4F39" w:rsidRDefault="00CA4F39" w:rsidP="00A9179F">
      <w:pPr>
        <w:pStyle w:val="Listenabsatz"/>
        <w:numPr>
          <w:ilvl w:val="0"/>
          <w:numId w:val="2"/>
        </w:numPr>
        <w:spacing w:line="400" w:lineRule="exact"/>
        <w:ind w:left="426" w:hanging="426"/>
        <w:rPr>
          <w:sz w:val="24"/>
        </w:rPr>
      </w:pPr>
      <w:r w:rsidRPr="00CA4F39">
        <w:rPr>
          <w:sz w:val="24"/>
        </w:rPr>
        <w:t>Grundierung:</w:t>
      </w:r>
      <w:r>
        <w:rPr>
          <w:sz w:val="24"/>
        </w:rPr>
        <w:t xml:space="preserve"> </w:t>
      </w:r>
      <w:r w:rsidRPr="00CA4F39">
        <w:rPr>
          <w:sz w:val="24"/>
        </w:rPr>
        <w:t>StoPox WG 100</w:t>
      </w:r>
    </w:p>
    <w:p w:rsidR="00CA4F39" w:rsidRPr="00CA4F39" w:rsidRDefault="00CA4F39" w:rsidP="00A9179F">
      <w:pPr>
        <w:pStyle w:val="Listenabsatz"/>
        <w:numPr>
          <w:ilvl w:val="0"/>
          <w:numId w:val="2"/>
        </w:numPr>
        <w:spacing w:line="400" w:lineRule="exact"/>
        <w:ind w:left="426" w:right="-285" w:hanging="426"/>
        <w:rPr>
          <w:sz w:val="24"/>
        </w:rPr>
      </w:pPr>
      <w:proofErr w:type="spellStart"/>
      <w:r w:rsidRPr="00CA4F39">
        <w:rPr>
          <w:sz w:val="24"/>
        </w:rPr>
        <w:t>Egalisationsspachtel</w:t>
      </w:r>
      <w:proofErr w:type="spellEnd"/>
      <w:r w:rsidRPr="00CA4F39">
        <w:rPr>
          <w:sz w:val="24"/>
        </w:rPr>
        <w:t>:</w:t>
      </w:r>
      <w:r w:rsidR="00CA1B91">
        <w:rPr>
          <w:sz w:val="24"/>
        </w:rPr>
        <w:t xml:space="preserve"> </w:t>
      </w:r>
      <w:proofErr w:type="spellStart"/>
      <w:r w:rsidRPr="00CA4F39">
        <w:rPr>
          <w:sz w:val="24"/>
        </w:rPr>
        <w:t>StoPox</w:t>
      </w:r>
      <w:proofErr w:type="spellEnd"/>
      <w:r w:rsidRPr="00CA4F39">
        <w:rPr>
          <w:sz w:val="24"/>
        </w:rPr>
        <w:t xml:space="preserve"> WG 100</w:t>
      </w:r>
      <w:r w:rsidR="00A9179F">
        <w:rPr>
          <w:sz w:val="24"/>
        </w:rPr>
        <w:t>,</w:t>
      </w:r>
      <w:r w:rsidRPr="00CA4F39">
        <w:rPr>
          <w:sz w:val="24"/>
        </w:rPr>
        <w:t xml:space="preserve"> </w:t>
      </w:r>
      <w:proofErr w:type="spellStart"/>
      <w:r w:rsidRPr="00CA4F39">
        <w:rPr>
          <w:sz w:val="24"/>
        </w:rPr>
        <w:t>StoQuarz</w:t>
      </w:r>
      <w:proofErr w:type="spellEnd"/>
      <w:r w:rsidRPr="00CA4F39">
        <w:rPr>
          <w:sz w:val="24"/>
        </w:rPr>
        <w:t xml:space="preserve"> 0,1-0,5 mm</w:t>
      </w:r>
    </w:p>
    <w:p w:rsidR="00CA4F39" w:rsidRPr="00CA4F39" w:rsidRDefault="00CA4F39" w:rsidP="00A9179F">
      <w:pPr>
        <w:pStyle w:val="Listenabsatz"/>
        <w:numPr>
          <w:ilvl w:val="0"/>
          <w:numId w:val="2"/>
        </w:numPr>
        <w:spacing w:line="400" w:lineRule="exact"/>
        <w:ind w:left="426" w:hanging="426"/>
        <w:rPr>
          <w:sz w:val="24"/>
        </w:rPr>
      </w:pPr>
      <w:r w:rsidRPr="00CA4F39">
        <w:rPr>
          <w:sz w:val="24"/>
        </w:rPr>
        <w:t>Versiegelung:</w:t>
      </w:r>
      <w:r w:rsidR="00CA1B91">
        <w:rPr>
          <w:sz w:val="24"/>
        </w:rPr>
        <w:t xml:space="preserve"> </w:t>
      </w:r>
      <w:r w:rsidRPr="00CA4F39">
        <w:rPr>
          <w:sz w:val="24"/>
        </w:rPr>
        <w:t>StoPox WL 113</w:t>
      </w:r>
      <w:r w:rsidR="00E91DAE">
        <w:rPr>
          <w:sz w:val="24"/>
        </w:rPr>
        <w:t xml:space="preserve"> </w:t>
      </w:r>
      <w:r w:rsidRPr="00CA4F39">
        <w:rPr>
          <w:sz w:val="24"/>
        </w:rPr>
        <w:t>in RAL 7032</w:t>
      </w:r>
    </w:p>
    <w:p w:rsidR="003D15D1" w:rsidRDefault="003D15D1" w:rsidP="003D15D1">
      <w:pPr>
        <w:spacing w:line="360" w:lineRule="auto"/>
        <w:rPr>
          <w:sz w:val="24"/>
          <w:szCs w:val="24"/>
        </w:rPr>
      </w:pPr>
    </w:p>
    <w:p w:rsidR="00C2523A" w:rsidRDefault="00C2523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14A5A" w:rsidRPr="00D80877" w:rsidRDefault="0070492E" w:rsidP="00964CF9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Bildunterschrift</w:t>
      </w:r>
    </w:p>
    <w:p w:rsidR="007211BA" w:rsidRDefault="007211BA" w:rsidP="00964CF9">
      <w:pPr>
        <w:spacing w:line="360" w:lineRule="auto"/>
        <w:jc w:val="both"/>
        <w:rPr>
          <w:sz w:val="24"/>
          <w:szCs w:val="24"/>
        </w:rPr>
      </w:pPr>
    </w:p>
    <w:p w:rsidR="00214A5A" w:rsidRDefault="007211BA" w:rsidP="00964CF9">
      <w:pPr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360045</wp:posOffset>
            </wp:positionV>
            <wp:extent cx="3467100" cy="2600325"/>
            <wp:effectExtent l="19050" t="0" r="0" b="0"/>
            <wp:wrapTopAndBottom/>
            <wp:docPr id="1" name="Bild 1" descr="\\OMV\daten\Daten-Mac\StoCretec\Prints\2021\21-06_StoPox_WL_113\21-06_IEB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1\21-06_StoPox_WL_113\21-06_IEB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A5A">
        <w:rPr>
          <w:sz w:val="24"/>
          <w:szCs w:val="24"/>
        </w:rPr>
        <w:t>[</w:t>
      </w:r>
      <w:r w:rsidR="003D15D1" w:rsidRPr="003D15D1">
        <w:rPr>
          <w:sz w:val="24"/>
          <w:szCs w:val="24"/>
        </w:rPr>
        <w:t>21-</w:t>
      </w:r>
      <w:r w:rsidR="00CA4F39">
        <w:rPr>
          <w:sz w:val="24"/>
          <w:szCs w:val="24"/>
        </w:rPr>
        <w:t>06_</w:t>
      </w:r>
      <w:r w:rsidR="006A3793">
        <w:rPr>
          <w:sz w:val="24"/>
          <w:szCs w:val="24"/>
        </w:rPr>
        <w:t>IEB</w:t>
      </w:r>
      <w:r w:rsidR="00214A5A">
        <w:rPr>
          <w:sz w:val="24"/>
          <w:szCs w:val="24"/>
        </w:rPr>
        <w:t>]</w:t>
      </w:r>
    </w:p>
    <w:p w:rsidR="007211BA" w:rsidRDefault="007211BA" w:rsidP="00964CF9">
      <w:pPr>
        <w:spacing w:line="360" w:lineRule="auto"/>
        <w:jc w:val="both"/>
        <w:rPr>
          <w:i/>
          <w:sz w:val="24"/>
          <w:szCs w:val="24"/>
        </w:rPr>
      </w:pPr>
    </w:p>
    <w:p w:rsidR="00EF49B9" w:rsidRDefault="00C122FE" w:rsidP="00964CF9">
      <w:pPr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Die ableitfähige Versiegelung </w:t>
      </w:r>
      <w:proofErr w:type="spellStart"/>
      <w:r w:rsidR="000E749A">
        <w:rPr>
          <w:i/>
          <w:sz w:val="24"/>
          <w:szCs w:val="24"/>
        </w:rPr>
        <w:t>StoPox</w:t>
      </w:r>
      <w:proofErr w:type="spellEnd"/>
      <w:r>
        <w:rPr>
          <w:i/>
          <w:sz w:val="24"/>
          <w:szCs w:val="24"/>
        </w:rPr>
        <w:t xml:space="preserve"> </w:t>
      </w:r>
      <w:r w:rsidR="000E749A">
        <w:rPr>
          <w:i/>
          <w:sz w:val="24"/>
          <w:szCs w:val="24"/>
        </w:rPr>
        <w:t>WG</w:t>
      </w:r>
      <w:r>
        <w:rPr>
          <w:i/>
          <w:sz w:val="24"/>
          <w:szCs w:val="24"/>
        </w:rPr>
        <w:t xml:space="preserve"> </w:t>
      </w:r>
      <w:r w:rsidR="000E749A">
        <w:rPr>
          <w:i/>
          <w:sz w:val="24"/>
          <w:szCs w:val="24"/>
        </w:rPr>
        <w:t xml:space="preserve">113 ist besonders widerstandsfähig. </w:t>
      </w:r>
      <w:r w:rsidR="00A9179F">
        <w:rPr>
          <w:i/>
          <w:sz w:val="24"/>
          <w:szCs w:val="24"/>
        </w:rPr>
        <w:t>Industrie</w:t>
      </w:r>
      <w:r w:rsidR="00EF49B9">
        <w:rPr>
          <w:i/>
          <w:sz w:val="24"/>
          <w:szCs w:val="24"/>
        </w:rPr>
        <w:t>typische Belastungen sind kein Problem.</w:t>
      </w:r>
    </w:p>
    <w:p w:rsidR="00A9179F" w:rsidRDefault="004E4A30" w:rsidP="00964CF9">
      <w:pPr>
        <w:spacing w:line="360" w:lineRule="auto"/>
        <w:jc w:val="right"/>
        <w:rPr>
          <w:snapToGrid w:val="0"/>
          <w:color w:val="000000"/>
          <w:sz w:val="24"/>
          <w:szCs w:val="24"/>
        </w:rPr>
      </w:pPr>
      <w:r w:rsidRPr="004E4A30">
        <w:rPr>
          <w:snapToGrid w:val="0"/>
          <w:color w:val="000000"/>
          <w:sz w:val="24"/>
          <w:szCs w:val="24"/>
        </w:rPr>
        <w:t>Foto:</w:t>
      </w:r>
      <w:r w:rsidR="000933FF">
        <w:rPr>
          <w:snapToGrid w:val="0"/>
          <w:color w:val="000000"/>
          <w:sz w:val="24"/>
          <w:szCs w:val="24"/>
        </w:rPr>
        <w:t xml:space="preserve"> StoCretec</w:t>
      </w:r>
      <w:r w:rsidRPr="004E4A30">
        <w:rPr>
          <w:snapToGrid w:val="0"/>
          <w:color w:val="000000"/>
          <w:sz w:val="24"/>
          <w:szCs w:val="24"/>
        </w:rPr>
        <w:t xml:space="preserve"> </w:t>
      </w:r>
    </w:p>
    <w:p w:rsidR="00BE4EF7" w:rsidRDefault="00BE4EF7" w:rsidP="00C2523A">
      <w:pPr>
        <w:rPr>
          <w:snapToGrid w:val="0"/>
          <w:color w:val="000000"/>
          <w:sz w:val="24"/>
          <w:szCs w:val="24"/>
        </w:rPr>
      </w:pPr>
    </w:p>
    <w:p w:rsidR="00C2523A" w:rsidRDefault="00C2523A" w:rsidP="00C2523A">
      <w:pPr>
        <w:rPr>
          <w:snapToGrid w:val="0"/>
          <w:color w:val="000000"/>
          <w:sz w:val="24"/>
          <w:szCs w:val="24"/>
        </w:rPr>
      </w:pPr>
    </w:p>
    <w:p w:rsidR="004E4A30" w:rsidRPr="00BB52BC" w:rsidRDefault="004E4A30" w:rsidP="003D15D1">
      <w:pPr>
        <w:spacing w:line="360" w:lineRule="auto"/>
        <w:jc w:val="both"/>
        <w:rPr>
          <w:snapToGrid w:val="0"/>
          <w:color w:val="000000"/>
          <w:sz w:val="24"/>
          <w:szCs w:val="24"/>
        </w:rPr>
      </w:pPr>
    </w:p>
    <w:p w:rsidR="00EF7ECD" w:rsidRPr="00EF7ECD" w:rsidRDefault="00EF7ECD" w:rsidP="003D15D1">
      <w:pPr>
        <w:widowControl w:val="0"/>
        <w:jc w:val="both"/>
        <w:outlineLvl w:val="4"/>
        <w:rPr>
          <w:rFonts w:eastAsia="Times"/>
          <w:b/>
          <w:bCs/>
          <w:i/>
          <w:iCs/>
          <w:sz w:val="18"/>
          <w:szCs w:val="18"/>
          <w:u w:color="000000"/>
          <w:lang w:eastAsia="zh-CN"/>
        </w:rPr>
      </w:pPr>
      <w:r w:rsidRPr="00EF7ECD">
        <w:rPr>
          <w:b/>
          <w:bCs/>
          <w:sz w:val="18"/>
          <w:szCs w:val="18"/>
          <w:u w:color="000000"/>
          <w:lang w:eastAsia="zh-CN"/>
        </w:rPr>
        <w:t>Rückfragen beantwortet gern</w:t>
      </w:r>
    </w:p>
    <w:p w:rsidR="00EF7ECD" w:rsidRPr="00EF7ECD" w:rsidRDefault="00EF7ECD" w:rsidP="003D15D1">
      <w:pPr>
        <w:framePr w:w="3782" w:h="1077" w:wrap="around" w:vAnchor="text" w:hAnchor="text" w:x="1" w:y="41" w:anchorLock="1"/>
        <w:widowControl w:val="0"/>
        <w:shd w:val="solid" w:color="FFFFFF" w:fill="FFFFFF"/>
        <w:rPr>
          <w:rFonts w:eastAsia="Calibri"/>
          <w:bCs/>
          <w:sz w:val="18"/>
          <w:szCs w:val="18"/>
          <w:u w:color="000000"/>
          <w:lang w:eastAsia="en-US"/>
        </w:rPr>
      </w:pPr>
      <w:r w:rsidRPr="00EF7ECD">
        <w:rPr>
          <w:rFonts w:eastAsia="Calibri"/>
          <w:b/>
          <w:bCs/>
          <w:sz w:val="18"/>
          <w:szCs w:val="18"/>
          <w:u w:color="000000"/>
          <w:lang w:eastAsia="en-US"/>
        </w:rPr>
        <w:t xml:space="preserve">pr neu - gedacht </w:t>
      </w:r>
    </w:p>
    <w:p w:rsidR="00EF7ECD" w:rsidRPr="00C122FE" w:rsidRDefault="00816AFE" w:rsidP="003D15D1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C122FE">
        <w:rPr>
          <w:rFonts w:eastAsia="Calibri"/>
          <w:sz w:val="18"/>
          <w:szCs w:val="18"/>
          <w:u w:color="000000"/>
          <w:lang w:eastAsia="en-US"/>
        </w:rPr>
        <w:t>Jan Birkenfeld</w:t>
      </w:r>
    </w:p>
    <w:p w:rsidR="00EF7ECD" w:rsidRPr="00C122FE" w:rsidRDefault="00816AFE" w:rsidP="003D15D1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C122FE">
        <w:rPr>
          <w:rFonts w:eastAsia="Calibri"/>
          <w:sz w:val="18"/>
          <w:szCs w:val="18"/>
          <w:u w:color="000000"/>
          <w:lang w:eastAsia="en-US"/>
        </w:rPr>
        <w:t>Tel.: 05307 / 80093 - 85</w:t>
      </w:r>
    </w:p>
    <w:p w:rsidR="00EF7ECD" w:rsidRPr="00C122FE" w:rsidRDefault="00816AFE" w:rsidP="003D15D1">
      <w:pPr>
        <w:framePr w:w="3782" w:h="1077" w:wrap="around" w:vAnchor="text" w:hAnchor="text" w:x="1" w:y="41" w:anchorLock="1"/>
        <w:shd w:val="solid" w:color="FFFFFF" w:fill="FFFFFF"/>
        <w:jc w:val="both"/>
        <w:rPr>
          <w:rFonts w:eastAsia="Calibri"/>
          <w:sz w:val="18"/>
          <w:szCs w:val="18"/>
          <w:u w:color="000000"/>
          <w:lang w:eastAsia="en-US"/>
        </w:rPr>
      </w:pPr>
      <w:r w:rsidRPr="00C122FE">
        <w:rPr>
          <w:rFonts w:eastAsia="Calibri"/>
          <w:sz w:val="18"/>
          <w:szCs w:val="18"/>
          <w:u w:color="000000"/>
          <w:lang w:eastAsia="en-US"/>
        </w:rPr>
        <w:t>E-Mail: j.birkenfeld@pr-neu.de</w:t>
      </w:r>
    </w:p>
    <w:p w:rsidR="00EF7ECD" w:rsidRPr="00EF7ECD" w:rsidRDefault="00EF7ECD" w:rsidP="003D15D1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Abdruck honorarfrei, Belegexemplar erbeten an:</w:t>
      </w:r>
    </w:p>
    <w:p w:rsidR="0082210B" w:rsidRDefault="00CE19E9" w:rsidP="003D15D1">
      <w:pPr>
        <w:rPr>
          <w:rFonts w:eastAsia="Calibri"/>
          <w:sz w:val="18"/>
          <w:szCs w:val="18"/>
          <w:u w:color="000000"/>
          <w:lang w:eastAsia="en-US"/>
        </w:rPr>
      </w:pPr>
      <w:r>
        <w:rPr>
          <w:rFonts w:eastAsia="Calibri"/>
          <w:sz w:val="18"/>
          <w:szCs w:val="18"/>
          <w:u w:color="000000"/>
          <w:lang w:eastAsia="en-US"/>
        </w:rPr>
        <w:t>pr neu -</w:t>
      </w:r>
      <w:r w:rsidR="0082210B">
        <w:rPr>
          <w:rFonts w:eastAsia="Calibri"/>
          <w:sz w:val="18"/>
          <w:szCs w:val="18"/>
          <w:u w:color="000000"/>
          <w:lang w:eastAsia="en-US"/>
        </w:rPr>
        <w:t xml:space="preserve"> gedacht</w:t>
      </w:r>
    </w:p>
    <w:p w:rsidR="00EF7ECD" w:rsidRPr="00EF7ECD" w:rsidRDefault="00EF7ECD" w:rsidP="003D15D1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Braunschweig</w:t>
      </w:r>
    </w:p>
    <w:p w:rsidR="00C44730" w:rsidRPr="00A71842" w:rsidRDefault="00C44730" w:rsidP="003D15D1">
      <w:pPr>
        <w:spacing w:line="360" w:lineRule="auto"/>
        <w:jc w:val="right"/>
      </w:pPr>
    </w:p>
    <w:sectPr w:rsidR="00C44730" w:rsidRPr="00A71842" w:rsidSect="00FD5522">
      <w:headerReference w:type="default" r:id="rId8"/>
      <w:footerReference w:type="default" r:id="rId9"/>
      <w:pgSz w:w="11906" w:h="16838"/>
      <w:pgMar w:top="2835" w:right="3402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82C" w:rsidRDefault="0088582C">
      <w:r>
        <w:separator/>
      </w:r>
    </w:p>
  </w:endnote>
  <w:endnote w:type="continuationSeparator" w:id="0">
    <w:p w:rsidR="0088582C" w:rsidRDefault="00885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QuaySansEF-Medium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773735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1021177321"/>
          <w:docPartObj>
            <w:docPartGallery w:val="Page Numbers (Top of Page)"/>
            <w:docPartUnique/>
          </w:docPartObj>
        </w:sdtPr>
        <w:sdtEndPr>
          <w:rPr>
            <w:sz w:val="18"/>
          </w:rPr>
        </w:sdtEndPr>
        <w:sdtContent>
          <w:p w:rsidR="0088582C" w:rsidRPr="007468E0" w:rsidRDefault="007C2CAF" w:rsidP="007468E0">
            <w:pPr>
              <w:pStyle w:val="Fuzeile"/>
              <w:rPr>
                <w:sz w:val="18"/>
              </w:rPr>
            </w:pPr>
            <w:fldSimple w:instr=" FILENAME  \p  \* MERGEFORMAT ">
              <w:r w:rsidR="00ED273A" w:rsidRPr="00ED273A">
                <w:rPr>
                  <w:rFonts w:cs="Arial"/>
                  <w:noProof/>
                  <w:sz w:val="16"/>
                  <w:szCs w:val="16"/>
                </w:rPr>
                <w:t>\\OMV\daten\Daten-PC\StoCretec\2021\Texte\21-06_IEB_final_miBi.docx</w:t>
              </w:r>
            </w:fldSimple>
          </w:p>
          <w:p w:rsidR="0088582C" w:rsidRPr="007468E0" w:rsidRDefault="0088582C" w:rsidP="007468E0">
            <w:pPr>
              <w:pStyle w:val="Fuzeile"/>
              <w:jc w:val="right"/>
              <w:rPr>
                <w:sz w:val="18"/>
              </w:rPr>
            </w:pPr>
            <w:r w:rsidRPr="007468E0">
              <w:rPr>
                <w:sz w:val="18"/>
              </w:rPr>
              <w:t xml:space="preserve">Seite </w:t>
            </w:r>
            <w:r w:rsidR="007C2CAF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PAGE</w:instrText>
            </w:r>
            <w:r w:rsidR="007C2CAF" w:rsidRPr="007468E0">
              <w:rPr>
                <w:sz w:val="18"/>
              </w:rPr>
              <w:fldChar w:fldCharType="separate"/>
            </w:r>
            <w:r w:rsidR="00ED273A">
              <w:rPr>
                <w:noProof/>
                <w:sz w:val="18"/>
              </w:rPr>
              <w:t>2</w:t>
            </w:r>
            <w:r w:rsidR="007C2CAF" w:rsidRPr="007468E0">
              <w:rPr>
                <w:sz w:val="18"/>
              </w:rPr>
              <w:fldChar w:fldCharType="end"/>
            </w:r>
            <w:r w:rsidRPr="007468E0">
              <w:rPr>
                <w:sz w:val="18"/>
              </w:rPr>
              <w:t xml:space="preserve"> von </w:t>
            </w:r>
            <w:r w:rsidR="007C2CAF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NUMPAGES</w:instrText>
            </w:r>
            <w:r w:rsidR="007C2CAF" w:rsidRPr="007468E0">
              <w:rPr>
                <w:sz w:val="18"/>
              </w:rPr>
              <w:fldChar w:fldCharType="separate"/>
            </w:r>
            <w:r w:rsidR="00ED273A">
              <w:rPr>
                <w:noProof/>
                <w:sz w:val="18"/>
              </w:rPr>
              <w:t>3</w:t>
            </w:r>
            <w:r w:rsidR="007C2CAF" w:rsidRPr="007468E0">
              <w:rPr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82C" w:rsidRDefault="0088582C">
      <w:r>
        <w:separator/>
      </w:r>
    </w:p>
  </w:footnote>
  <w:footnote w:type="continuationSeparator" w:id="0">
    <w:p w:rsidR="0088582C" w:rsidRDefault="008858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82C" w:rsidRPr="0061716B" w:rsidRDefault="0061716B" w:rsidP="0061716B">
    <w:pPr>
      <w:pStyle w:val="Kopfzeile"/>
      <w:ind w:left="720"/>
      <w:jc w:val="center"/>
      <w:rPr>
        <w:rFonts w:ascii="Arial" w:hAnsi="Arial" w:cs="Arial"/>
      </w:rPr>
    </w:pPr>
    <w:r>
      <w:rPr>
        <w:rFonts w:ascii="Arial" w:hAnsi="Arial" w:cs="Arial"/>
      </w:rPr>
      <w:t xml:space="preserve">- </w:t>
    </w:r>
    <w:r w:rsidR="007C2CAF" w:rsidRPr="0061716B">
      <w:rPr>
        <w:rFonts w:ascii="Arial" w:hAnsi="Arial" w:cs="Arial"/>
      </w:rPr>
      <w:fldChar w:fldCharType="begin"/>
    </w:r>
    <w:r w:rsidRPr="0061716B">
      <w:rPr>
        <w:rFonts w:ascii="Arial" w:hAnsi="Arial" w:cs="Arial"/>
      </w:rPr>
      <w:instrText xml:space="preserve"> PAGE   \* MERGEFORMAT </w:instrText>
    </w:r>
    <w:r w:rsidR="007C2CAF" w:rsidRPr="0061716B">
      <w:rPr>
        <w:rFonts w:ascii="Arial" w:hAnsi="Arial" w:cs="Arial"/>
      </w:rPr>
      <w:fldChar w:fldCharType="separate"/>
    </w:r>
    <w:r w:rsidR="00ED273A">
      <w:rPr>
        <w:rFonts w:ascii="Arial" w:hAnsi="Arial" w:cs="Arial"/>
        <w:noProof/>
      </w:rPr>
      <w:t>2</w:t>
    </w:r>
    <w:r w:rsidR="007C2CAF" w:rsidRPr="0061716B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487A"/>
    <w:multiLevelType w:val="hybridMultilevel"/>
    <w:tmpl w:val="A716631C"/>
    <w:lvl w:ilvl="0" w:tplc="5E044A7A">
      <w:start w:val="3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373880"/>
    <w:multiLevelType w:val="hybridMultilevel"/>
    <w:tmpl w:val="9836E7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602D"/>
    <w:multiLevelType w:val="hybridMultilevel"/>
    <w:tmpl w:val="EEFAB3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737C5A"/>
    <w:multiLevelType w:val="hybridMultilevel"/>
    <w:tmpl w:val="A8D475E4"/>
    <w:lvl w:ilvl="0" w:tplc="B06CB6A6">
      <w:start w:val="3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51ABB"/>
    <w:multiLevelType w:val="hybridMultilevel"/>
    <w:tmpl w:val="63C04FB2"/>
    <w:lvl w:ilvl="0" w:tplc="0936AF3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C92CD4"/>
    <w:rsid w:val="00000C5C"/>
    <w:rsid w:val="000351F6"/>
    <w:rsid w:val="000623D5"/>
    <w:rsid w:val="00074229"/>
    <w:rsid w:val="00091A8B"/>
    <w:rsid w:val="000933FF"/>
    <w:rsid w:val="0009360C"/>
    <w:rsid w:val="000945C6"/>
    <w:rsid w:val="000A0FE9"/>
    <w:rsid w:val="000A1FAC"/>
    <w:rsid w:val="000A43FB"/>
    <w:rsid w:val="000A542E"/>
    <w:rsid w:val="000B53C8"/>
    <w:rsid w:val="000B5A25"/>
    <w:rsid w:val="000C0CCC"/>
    <w:rsid w:val="000D1757"/>
    <w:rsid w:val="000D1CDE"/>
    <w:rsid w:val="000D2195"/>
    <w:rsid w:val="000D67C8"/>
    <w:rsid w:val="000D79F8"/>
    <w:rsid w:val="000E058F"/>
    <w:rsid w:val="000E10C1"/>
    <w:rsid w:val="000E749A"/>
    <w:rsid w:val="000F34EB"/>
    <w:rsid w:val="00101760"/>
    <w:rsid w:val="00107ECE"/>
    <w:rsid w:val="00120E14"/>
    <w:rsid w:val="00124C85"/>
    <w:rsid w:val="00130BA9"/>
    <w:rsid w:val="001351C7"/>
    <w:rsid w:val="00135D93"/>
    <w:rsid w:val="00140E01"/>
    <w:rsid w:val="00152ADE"/>
    <w:rsid w:val="00156B08"/>
    <w:rsid w:val="00171C2C"/>
    <w:rsid w:val="00172392"/>
    <w:rsid w:val="00172423"/>
    <w:rsid w:val="00173F02"/>
    <w:rsid w:val="00174C71"/>
    <w:rsid w:val="00177C1A"/>
    <w:rsid w:val="001953AE"/>
    <w:rsid w:val="001A1749"/>
    <w:rsid w:val="001C5192"/>
    <w:rsid w:val="001F0893"/>
    <w:rsid w:val="001F36BC"/>
    <w:rsid w:val="001F37AC"/>
    <w:rsid w:val="001F6E8D"/>
    <w:rsid w:val="0020003B"/>
    <w:rsid w:val="00202147"/>
    <w:rsid w:val="00210F43"/>
    <w:rsid w:val="002110F9"/>
    <w:rsid w:val="00214A5A"/>
    <w:rsid w:val="00216B5E"/>
    <w:rsid w:val="00233B10"/>
    <w:rsid w:val="00236341"/>
    <w:rsid w:val="00256CE5"/>
    <w:rsid w:val="00275570"/>
    <w:rsid w:val="00283F5D"/>
    <w:rsid w:val="00286CD5"/>
    <w:rsid w:val="002A67A8"/>
    <w:rsid w:val="002B2A2D"/>
    <w:rsid w:val="002B3445"/>
    <w:rsid w:val="002B3FC2"/>
    <w:rsid w:val="002C7994"/>
    <w:rsid w:val="002D2ED9"/>
    <w:rsid w:val="002D4498"/>
    <w:rsid w:val="002D68F7"/>
    <w:rsid w:val="002E1749"/>
    <w:rsid w:val="002E7875"/>
    <w:rsid w:val="002F635E"/>
    <w:rsid w:val="00300EF9"/>
    <w:rsid w:val="00305BE9"/>
    <w:rsid w:val="003404B4"/>
    <w:rsid w:val="00342F6B"/>
    <w:rsid w:val="003476DC"/>
    <w:rsid w:val="00357F38"/>
    <w:rsid w:val="003637E8"/>
    <w:rsid w:val="00385C79"/>
    <w:rsid w:val="003A2966"/>
    <w:rsid w:val="003C3A10"/>
    <w:rsid w:val="003C553E"/>
    <w:rsid w:val="003D15D1"/>
    <w:rsid w:val="003D198D"/>
    <w:rsid w:val="003D1DF6"/>
    <w:rsid w:val="003D776B"/>
    <w:rsid w:val="003E5944"/>
    <w:rsid w:val="00407401"/>
    <w:rsid w:val="00415B4F"/>
    <w:rsid w:val="00426B4F"/>
    <w:rsid w:val="00433C39"/>
    <w:rsid w:val="004401BB"/>
    <w:rsid w:val="00440818"/>
    <w:rsid w:val="00441F76"/>
    <w:rsid w:val="00442AC2"/>
    <w:rsid w:val="00447477"/>
    <w:rsid w:val="00460232"/>
    <w:rsid w:val="00460F6A"/>
    <w:rsid w:val="0047652D"/>
    <w:rsid w:val="00477583"/>
    <w:rsid w:val="00486166"/>
    <w:rsid w:val="00490AF1"/>
    <w:rsid w:val="0049196A"/>
    <w:rsid w:val="004B0A0F"/>
    <w:rsid w:val="004B5F9F"/>
    <w:rsid w:val="004C577E"/>
    <w:rsid w:val="004D2AD5"/>
    <w:rsid w:val="004D7C12"/>
    <w:rsid w:val="004E264B"/>
    <w:rsid w:val="004E2B20"/>
    <w:rsid w:val="004E33C6"/>
    <w:rsid w:val="004E3821"/>
    <w:rsid w:val="004E4A30"/>
    <w:rsid w:val="004F41F7"/>
    <w:rsid w:val="004F5E5C"/>
    <w:rsid w:val="0051235E"/>
    <w:rsid w:val="005425A0"/>
    <w:rsid w:val="00565722"/>
    <w:rsid w:val="005736C4"/>
    <w:rsid w:val="00576BCC"/>
    <w:rsid w:val="005806BC"/>
    <w:rsid w:val="0059176E"/>
    <w:rsid w:val="00597409"/>
    <w:rsid w:val="005A4CC0"/>
    <w:rsid w:val="005B15E8"/>
    <w:rsid w:val="005C4EC6"/>
    <w:rsid w:val="005C6BF9"/>
    <w:rsid w:val="005C7A9B"/>
    <w:rsid w:val="005D19C4"/>
    <w:rsid w:val="005D4289"/>
    <w:rsid w:val="005E29EB"/>
    <w:rsid w:val="005E2A69"/>
    <w:rsid w:val="005E4BAB"/>
    <w:rsid w:val="005E7D80"/>
    <w:rsid w:val="005F1CEF"/>
    <w:rsid w:val="00600657"/>
    <w:rsid w:val="00605DD0"/>
    <w:rsid w:val="0061716B"/>
    <w:rsid w:val="00617994"/>
    <w:rsid w:val="00623C03"/>
    <w:rsid w:val="00625419"/>
    <w:rsid w:val="00627A0C"/>
    <w:rsid w:val="00634AEB"/>
    <w:rsid w:val="00663059"/>
    <w:rsid w:val="0067165B"/>
    <w:rsid w:val="00681E09"/>
    <w:rsid w:val="00682C3B"/>
    <w:rsid w:val="00685AFD"/>
    <w:rsid w:val="00686543"/>
    <w:rsid w:val="00687D25"/>
    <w:rsid w:val="00693367"/>
    <w:rsid w:val="00697247"/>
    <w:rsid w:val="006A1C37"/>
    <w:rsid w:val="006A262C"/>
    <w:rsid w:val="006A3793"/>
    <w:rsid w:val="006A6C74"/>
    <w:rsid w:val="006B1555"/>
    <w:rsid w:val="006B3C9A"/>
    <w:rsid w:val="006C356E"/>
    <w:rsid w:val="006D2BF4"/>
    <w:rsid w:val="006D330B"/>
    <w:rsid w:val="006D3AF4"/>
    <w:rsid w:val="006E3E54"/>
    <w:rsid w:val="006F623F"/>
    <w:rsid w:val="006F6659"/>
    <w:rsid w:val="006F7040"/>
    <w:rsid w:val="00703BC2"/>
    <w:rsid w:val="0070444C"/>
    <w:rsid w:val="0070492E"/>
    <w:rsid w:val="007211BA"/>
    <w:rsid w:val="0072471A"/>
    <w:rsid w:val="007248BE"/>
    <w:rsid w:val="007266A2"/>
    <w:rsid w:val="0074484C"/>
    <w:rsid w:val="007468E0"/>
    <w:rsid w:val="00755C4D"/>
    <w:rsid w:val="00760DAE"/>
    <w:rsid w:val="0077611C"/>
    <w:rsid w:val="00784A1C"/>
    <w:rsid w:val="0078580C"/>
    <w:rsid w:val="007940E3"/>
    <w:rsid w:val="007A6E0B"/>
    <w:rsid w:val="007B1933"/>
    <w:rsid w:val="007C2117"/>
    <w:rsid w:val="007C2CAF"/>
    <w:rsid w:val="007D042E"/>
    <w:rsid w:val="007D49A4"/>
    <w:rsid w:val="007E520F"/>
    <w:rsid w:val="007E7293"/>
    <w:rsid w:val="0080074B"/>
    <w:rsid w:val="00802300"/>
    <w:rsid w:val="00816AFE"/>
    <w:rsid w:val="008201E4"/>
    <w:rsid w:val="008219A6"/>
    <w:rsid w:val="0082210B"/>
    <w:rsid w:val="0083388A"/>
    <w:rsid w:val="00836079"/>
    <w:rsid w:val="00840EDC"/>
    <w:rsid w:val="008542EA"/>
    <w:rsid w:val="0085491D"/>
    <w:rsid w:val="00866504"/>
    <w:rsid w:val="00884387"/>
    <w:rsid w:val="0088582C"/>
    <w:rsid w:val="00887056"/>
    <w:rsid w:val="0089516B"/>
    <w:rsid w:val="008A4C15"/>
    <w:rsid w:val="008C49FB"/>
    <w:rsid w:val="008F714B"/>
    <w:rsid w:val="009000F8"/>
    <w:rsid w:val="00930241"/>
    <w:rsid w:val="00935FE6"/>
    <w:rsid w:val="00945BE8"/>
    <w:rsid w:val="00953DD2"/>
    <w:rsid w:val="009603D0"/>
    <w:rsid w:val="009640AD"/>
    <w:rsid w:val="00964CF9"/>
    <w:rsid w:val="00965563"/>
    <w:rsid w:val="009774D3"/>
    <w:rsid w:val="009B19C9"/>
    <w:rsid w:val="009B2FC9"/>
    <w:rsid w:val="009C00B3"/>
    <w:rsid w:val="009C1AF7"/>
    <w:rsid w:val="009D0564"/>
    <w:rsid w:val="009E2EA6"/>
    <w:rsid w:val="009E5527"/>
    <w:rsid w:val="009F7D9B"/>
    <w:rsid w:val="00A1345B"/>
    <w:rsid w:val="00A17F03"/>
    <w:rsid w:val="00A217D6"/>
    <w:rsid w:val="00A228EB"/>
    <w:rsid w:val="00A271C9"/>
    <w:rsid w:val="00A3421F"/>
    <w:rsid w:val="00A5016F"/>
    <w:rsid w:val="00A6607A"/>
    <w:rsid w:val="00A70CDD"/>
    <w:rsid w:val="00A71842"/>
    <w:rsid w:val="00A859F6"/>
    <w:rsid w:val="00A9179F"/>
    <w:rsid w:val="00AA35D6"/>
    <w:rsid w:val="00AA5BA8"/>
    <w:rsid w:val="00AB088C"/>
    <w:rsid w:val="00AC1921"/>
    <w:rsid w:val="00AC5E58"/>
    <w:rsid w:val="00AC7128"/>
    <w:rsid w:val="00AD177F"/>
    <w:rsid w:val="00AE248A"/>
    <w:rsid w:val="00AE46DE"/>
    <w:rsid w:val="00AF068B"/>
    <w:rsid w:val="00AF55DE"/>
    <w:rsid w:val="00AF5616"/>
    <w:rsid w:val="00AF6E58"/>
    <w:rsid w:val="00B02ABC"/>
    <w:rsid w:val="00B045CD"/>
    <w:rsid w:val="00B061BC"/>
    <w:rsid w:val="00B27C53"/>
    <w:rsid w:val="00B35C8D"/>
    <w:rsid w:val="00B4024C"/>
    <w:rsid w:val="00B404DB"/>
    <w:rsid w:val="00B736F4"/>
    <w:rsid w:val="00B855EF"/>
    <w:rsid w:val="00B9054C"/>
    <w:rsid w:val="00BA50F5"/>
    <w:rsid w:val="00BA64D8"/>
    <w:rsid w:val="00BB4D1C"/>
    <w:rsid w:val="00BB52BC"/>
    <w:rsid w:val="00BB7C33"/>
    <w:rsid w:val="00BC3FAA"/>
    <w:rsid w:val="00BC70A4"/>
    <w:rsid w:val="00BD351B"/>
    <w:rsid w:val="00BE4EF7"/>
    <w:rsid w:val="00C0019F"/>
    <w:rsid w:val="00C122FE"/>
    <w:rsid w:val="00C2523A"/>
    <w:rsid w:val="00C26827"/>
    <w:rsid w:val="00C31498"/>
    <w:rsid w:val="00C344FE"/>
    <w:rsid w:val="00C40CB0"/>
    <w:rsid w:val="00C43CCF"/>
    <w:rsid w:val="00C44730"/>
    <w:rsid w:val="00C80336"/>
    <w:rsid w:val="00C86B48"/>
    <w:rsid w:val="00C92CD4"/>
    <w:rsid w:val="00CA1B91"/>
    <w:rsid w:val="00CA4F39"/>
    <w:rsid w:val="00CB5828"/>
    <w:rsid w:val="00CC3550"/>
    <w:rsid w:val="00CC481E"/>
    <w:rsid w:val="00CE19E9"/>
    <w:rsid w:val="00D0145F"/>
    <w:rsid w:val="00D05963"/>
    <w:rsid w:val="00D068C7"/>
    <w:rsid w:val="00D10E66"/>
    <w:rsid w:val="00D11E49"/>
    <w:rsid w:val="00D402D5"/>
    <w:rsid w:val="00D60BF0"/>
    <w:rsid w:val="00D63303"/>
    <w:rsid w:val="00D80877"/>
    <w:rsid w:val="00D81337"/>
    <w:rsid w:val="00D83D03"/>
    <w:rsid w:val="00D8611D"/>
    <w:rsid w:val="00D863DA"/>
    <w:rsid w:val="00D868BD"/>
    <w:rsid w:val="00D91BCB"/>
    <w:rsid w:val="00DB5D4A"/>
    <w:rsid w:val="00DD3948"/>
    <w:rsid w:val="00DD7443"/>
    <w:rsid w:val="00DE0992"/>
    <w:rsid w:val="00DE415D"/>
    <w:rsid w:val="00DF0560"/>
    <w:rsid w:val="00DF544A"/>
    <w:rsid w:val="00E1045F"/>
    <w:rsid w:val="00E10AAB"/>
    <w:rsid w:val="00E379A0"/>
    <w:rsid w:val="00E40BA0"/>
    <w:rsid w:val="00E53410"/>
    <w:rsid w:val="00E540D7"/>
    <w:rsid w:val="00E608A0"/>
    <w:rsid w:val="00E61ED8"/>
    <w:rsid w:val="00E75314"/>
    <w:rsid w:val="00E76AB5"/>
    <w:rsid w:val="00E91DAE"/>
    <w:rsid w:val="00E93A07"/>
    <w:rsid w:val="00E9547F"/>
    <w:rsid w:val="00EB24C9"/>
    <w:rsid w:val="00EC6403"/>
    <w:rsid w:val="00EC6562"/>
    <w:rsid w:val="00ED273A"/>
    <w:rsid w:val="00ED2F4A"/>
    <w:rsid w:val="00EE43F2"/>
    <w:rsid w:val="00EF1A94"/>
    <w:rsid w:val="00EF2C0D"/>
    <w:rsid w:val="00EF49B9"/>
    <w:rsid w:val="00EF7ECD"/>
    <w:rsid w:val="00F12385"/>
    <w:rsid w:val="00F130CE"/>
    <w:rsid w:val="00F20BBA"/>
    <w:rsid w:val="00F246FB"/>
    <w:rsid w:val="00F24C9C"/>
    <w:rsid w:val="00F3052C"/>
    <w:rsid w:val="00F32624"/>
    <w:rsid w:val="00F347CA"/>
    <w:rsid w:val="00F34987"/>
    <w:rsid w:val="00F408C5"/>
    <w:rsid w:val="00F4445F"/>
    <w:rsid w:val="00F6188B"/>
    <w:rsid w:val="00F661C1"/>
    <w:rsid w:val="00F71935"/>
    <w:rsid w:val="00F844B5"/>
    <w:rsid w:val="00FC1D6D"/>
    <w:rsid w:val="00FD2A68"/>
    <w:rsid w:val="00FD416A"/>
    <w:rsid w:val="00FD5522"/>
    <w:rsid w:val="00FD7316"/>
    <w:rsid w:val="00FE0CC4"/>
    <w:rsid w:val="00FF24FD"/>
    <w:rsid w:val="00FF735A"/>
    <w:rsid w:val="00FF7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0CC4"/>
    <w:rPr>
      <w:rFonts w:eastAsia="Times New Roman"/>
      <w:sz w:val="22"/>
      <w:szCs w:val="22"/>
    </w:rPr>
  </w:style>
  <w:style w:type="paragraph" w:styleId="berschrift5">
    <w:name w:val="heading 5"/>
    <w:basedOn w:val="Standard"/>
    <w:next w:val="Standard"/>
    <w:link w:val="berschrift5Zchn"/>
    <w:qFormat/>
    <w:locked/>
    <w:rsid w:val="00B404DB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link w:val="berschrift5"/>
    <w:semiHidden/>
    <w:locked/>
    <w:rsid w:val="004E264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KeinLeerraum1">
    <w:name w:val="Kein Leerraum1"/>
    <w:rsid w:val="00C92CD4"/>
    <w:rPr>
      <w:rFonts w:eastAsia="Times New Roman" w:cs="Times New Roman"/>
      <w:szCs w:val="22"/>
      <w:lang w:eastAsia="en-US"/>
    </w:rPr>
  </w:style>
  <w:style w:type="paragraph" w:styleId="Kopfzeile">
    <w:name w:val="header"/>
    <w:basedOn w:val="Standard"/>
    <w:link w:val="KopfzeileZchn"/>
    <w:rsid w:val="00B404DB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szCs w:val="20"/>
      <w:lang w:eastAsia="en-US"/>
    </w:rPr>
  </w:style>
  <w:style w:type="character" w:customStyle="1" w:styleId="KopfzeileZchn">
    <w:name w:val="Kopfzeile Zchn"/>
    <w:link w:val="Kopfzeile"/>
    <w:locked/>
    <w:rsid w:val="00B404DB"/>
    <w:rPr>
      <w:rFonts w:ascii="Calibri" w:hAnsi="Calibri" w:cs="Times New Roman"/>
      <w:sz w:val="22"/>
      <w:lang w:val="de-DE" w:eastAsia="en-US"/>
    </w:rPr>
  </w:style>
  <w:style w:type="paragraph" w:styleId="Fuzeile">
    <w:name w:val="footer"/>
    <w:basedOn w:val="Standard"/>
    <w:link w:val="FuzeileZchn"/>
    <w:uiPriority w:val="99"/>
    <w:rsid w:val="00B404DB"/>
    <w:pPr>
      <w:tabs>
        <w:tab w:val="center" w:pos="4536"/>
        <w:tab w:val="right" w:pos="9072"/>
      </w:tabs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4E264B"/>
    <w:rPr>
      <w:rFonts w:cs="Times New Roman"/>
    </w:rPr>
  </w:style>
  <w:style w:type="paragraph" w:customStyle="1" w:styleId="KeinLeerraum2">
    <w:name w:val="Kein Leerraum2"/>
    <w:rsid w:val="00B404DB"/>
    <w:rPr>
      <w:rFonts w:eastAsia="PMingLiU" w:cs="Times New Roman"/>
      <w:sz w:val="24"/>
      <w:szCs w:val="22"/>
      <w:lang w:val="en-US" w:eastAsia="en-US"/>
    </w:rPr>
  </w:style>
  <w:style w:type="paragraph" w:styleId="Textkrper">
    <w:name w:val="Body Text"/>
    <w:basedOn w:val="Standard"/>
    <w:link w:val="TextkrperZchn"/>
    <w:rsid w:val="00B404DB"/>
    <w:pPr>
      <w:spacing w:line="360" w:lineRule="atLeast"/>
      <w:jc w:val="both"/>
    </w:pPr>
    <w:rPr>
      <w:rFonts w:eastAsia="Calibri" w:cs="Times New Roman"/>
      <w:sz w:val="20"/>
      <w:szCs w:val="20"/>
    </w:rPr>
  </w:style>
  <w:style w:type="character" w:customStyle="1" w:styleId="TextkrperZchn">
    <w:name w:val="Textkörper Zchn"/>
    <w:link w:val="Textkrper"/>
    <w:semiHidden/>
    <w:locked/>
    <w:rsid w:val="004E264B"/>
    <w:rPr>
      <w:rFonts w:cs="Times New Roman"/>
    </w:rPr>
  </w:style>
  <w:style w:type="character" w:customStyle="1" w:styleId="ZchnZchn2">
    <w:name w:val="Zchn Zchn2"/>
    <w:rsid w:val="003C3A10"/>
    <w:rPr>
      <w:rFonts w:ascii="Arial" w:hAnsi="Arial"/>
      <w:sz w:val="22"/>
      <w:lang w:val="de-DE" w:eastAsia="en-US"/>
    </w:rPr>
  </w:style>
  <w:style w:type="paragraph" w:styleId="Textkrper3">
    <w:name w:val="Body Text 3"/>
    <w:basedOn w:val="Standard"/>
    <w:link w:val="Textkrper3Zchn"/>
    <w:rsid w:val="000C0CCC"/>
    <w:pPr>
      <w:spacing w:line="400" w:lineRule="exact"/>
      <w:jc w:val="both"/>
    </w:pPr>
    <w:rPr>
      <w:rFonts w:cs="Times New Roman"/>
      <w:color w:val="FF0000"/>
      <w:sz w:val="24"/>
      <w:szCs w:val="24"/>
      <w:u w:val="single"/>
    </w:rPr>
  </w:style>
  <w:style w:type="character" w:customStyle="1" w:styleId="Textkrper3Zchn">
    <w:name w:val="Textkörper 3 Zchn"/>
    <w:link w:val="Textkrper3"/>
    <w:locked/>
    <w:rsid w:val="000C0CCC"/>
    <w:rPr>
      <w:rFonts w:eastAsia="Times New Roman" w:cs="Times New Roman"/>
      <w:color w:val="FF0000"/>
      <w:sz w:val="24"/>
      <w:szCs w:val="24"/>
      <w:u w:val="single"/>
    </w:rPr>
  </w:style>
  <w:style w:type="paragraph" w:customStyle="1" w:styleId="Headline18p">
    <w:name w:val="_Headline 18p"/>
    <w:basedOn w:val="Standard"/>
    <w:rsid w:val="000C0CCC"/>
    <w:pPr>
      <w:spacing w:line="360" w:lineRule="atLeast"/>
    </w:pPr>
    <w:rPr>
      <w:rFonts w:ascii="QuaySansEF-Medium" w:eastAsia="Calibri" w:hAnsi="QuaySansEF-Medium" w:cs="Times New Roman"/>
      <w:sz w:val="36"/>
      <w:szCs w:val="20"/>
    </w:rPr>
  </w:style>
  <w:style w:type="character" w:styleId="Kommentarzeichen">
    <w:name w:val="annotation reference"/>
    <w:rsid w:val="0060065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00657"/>
    <w:rPr>
      <w:rFonts w:cs="Times New Roman"/>
      <w:sz w:val="20"/>
      <w:szCs w:val="20"/>
    </w:rPr>
  </w:style>
  <w:style w:type="character" w:customStyle="1" w:styleId="KommentartextZchn">
    <w:name w:val="Kommentartext Zchn"/>
    <w:link w:val="Kommentartext"/>
    <w:rsid w:val="00600657"/>
    <w:rPr>
      <w:rFonts w:eastAsia="Times New Roman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00657"/>
    <w:rPr>
      <w:b/>
      <w:bCs/>
    </w:rPr>
  </w:style>
  <w:style w:type="character" w:customStyle="1" w:styleId="KommentarthemaZchn">
    <w:name w:val="Kommentarthema Zchn"/>
    <w:link w:val="Kommentarthema"/>
    <w:rsid w:val="00600657"/>
    <w:rPr>
      <w:rFonts w:eastAsia="Times New Roman"/>
      <w:b/>
      <w:bCs/>
      <w:lang w:eastAsia="de-DE"/>
    </w:rPr>
  </w:style>
  <w:style w:type="paragraph" w:styleId="Sprechblasentext">
    <w:name w:val="Balloon Text"/>
    <w:basedOn w:val="Standard"/>
    <w:link w:val="SprechblasentextZchn"/>
    <w:rsid w:val="00600657"/>
    <w:rPr>
      <w:rFonts w:ascii="Tahoma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rsid w:val="00600657"/>
    <w:rPr>
      <w:rFonts w:ascii="Tahoma" w:eastAsia="Times New Roman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5806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Design Collection Interior 14I15 – Teil 7: Pearl TI 3005</vt:lpstr>
    </vt:vector>
  </TitlesOfParts>
  <Company>Sto AG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3</cp:revision>
  <cp:lastPrinted>2021-05-03T07:09:00Z</cp:lastPrinted>
  <dcterms:created xsi:type="dcterms:W3CDTF">2021-05-03T07:10:00Z</dcterms:created>
  <dcterms:modified xsi:type="dcterms:W3CDTF">2021-05-03T07:10:00Z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2021-01-26T07:30:33Z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9a0de455-e34b-45bd-a913-0000a3641955</vt:lpwstr>
  </property>
  <property fmtid="{D5CDD505-2E9C-101B-9397-08002B2CF9AE}" pid="8" name="MSIP_Label_0d8cad6c-9ab5-4995-adbc-1936d45cc877_ContentBits">
    <vt:lpwstr>0</vt:lpwstr>
  </property>
</Properties>
</file>